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80" w:lineRule="auto"/>
        <w:rPr>
          <w:rFonts w:eastAsia="仿宋"/>
          <w:sz w:val="24"/>
          <w:szCs w:val="21"/>
          <w:highlight w:val="none"/>
        </w:rPr>
      </w:pPr>
      <w:r>
        <w:rPr>
          <w:rFonts w:eastAsia="仿宋"/>
          <w:sz w:val="24"/>
          <w:szCs w:val="21"/>
          <w:highlight w:val="none"/>
        </w:rPr>
        <w:t>附件</w:t>
      </w:r>
    </w:p>
    <w:p>
      <w:pPr>
        <w:pStyle w:val="8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三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四、其他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28361282"/>
      <w:bookmarkStart w:id="3" w:name="_Toc985"/>
      <w:bookmarkStart w:id="4" w:name="_Toc477252754"/>
      <w:bookmarkStart w:id="5" w:name="_Toc19483"/>
      <w:bookmarkStart w:id="6" w:name="_Toc518029667"/>
      <w:bookmarkStart w:id="7" w:name="_Toc119506519"/>
      <w:bookmarkStart w:id="8" w:name="_Toc256157479"/>
      <w:bookmarkStart w:id="9" w:name="_Toc43885674"/>
      <w:bookmarkStart w:id="10" w:name="_Toc119549378"/>
      <w:bookmarkStart w:id="11" w:name="_Toc261618223"/>
      <w:bookmarkStart w:id="12" w:name="_Toc20926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_Toc477252756"/>
      <w:bookmarkStart w:id="14" w:name="_Toc256588114"/>
      <w:bookmarkStart w:id="15" w:name="_Toc518029669"/>
      <w:bookmarkStart w:id="16" w:name="_Toc260213930"/>
      <w:bookmarkStart w:id="17" w:name="_Toc2933"/>
      <w:bookmarkStart w:id="18" w:name="_Toc256516137"/>
      <w:bookmarkStart w:id="19" w:name="_Toc12034"/>
      <w:bookmarkStart w:id="20" w:name="_Toc261618225"/>
      <w:bookmarkStart w:id="21" w:name="_Toc14093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22" w:name="_Toc261618239"/>
      <w:bookmarkStart w:id="23" w:name="_Toc4651"/>
      <w:bookmarkStart w:id="24" w:name="_Toc260298950"/>
      <w:bookmarkStart w:id="25" w:name="_Toc18957"/>
      <w:bookmarkStart w:id="26" w:name="_Toc518029684"/>
      <w:bookmarkStart w:id="27" w:name="_Toc477252770"/>
      <w:bookmarkStart w:id="28" w:name="_Toc961"/>
      <w:bookmarkStart w:id="29" w:name="_Toc256588130"/>
      <w:bookmarkStart w:id="30" w:name="_Toc256516145"/>
      <w:bookmarkStart w:id="31" w:name="_Toc43885687"/>
      <w:bookmarkStart w:id="32" w:name="_Toc25615746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二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highlight w:val="none"/>
        </w:rPr>
        <w:t>10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00"/>
        <w:gridCol w:w="222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521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highlight w:val="none"/>
        </w:rPr>
        <w:t>三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29"/>
      <w:bookmarkEnd w:id="30"/>
      <w:bookmarkEnd w:id="31"/>
      <w:bookmarkEnd w:id="32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6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四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其他</w:t>
      </w:r>
    </w:p>
    <w:p>
      <w:bookmarkStart w:id="33" w:name="_GoBack"/>
      <w:bookmarkEnd w:id="33"/>
    </w:p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3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4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03FE3"/>
    <w:multiLevelType w:val="singleLevel"/>
    <w:tmpl w:val="F7703F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3F74"/>
    <w:rsid w:val="0B8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2021-11-19T03:25:00Z</dcterms:created>
  <dc:creator>吴一凡</dc:creator>
  <cp:lastModifiedBy>吴一凡</cp:lastModifiedBy>
  <dcterms:modified xsi:type="dcterms:W3CDTF">2021-11-19T03:25:52Z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