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s>
        <w:spacing w:before="156" w:beforeLines="50" w:line="360" w:lineRule="auto"/>
        <w:jc w:val="center"/>
        <w:rPr>
          <w:rFonts w:hAnsi="宋体"/>
          <w:b/>
          <w:bCs/>
          <w:color w:val="auto"/>
          <w:sz w:val="52"/>
          <w:szCs w:val="52"/>
          <w:highlight w:val="none"/>
          <w14:shadow w14:blurRad="50800" w14:dist="38100" w14:dir="2700000" w14:sx="100000" w14:sy="100000" w14:kx="0" w14:ky="0" w14:algn="tl">
            <w14:srgbClr w14:val="000000">
              <w14:alpha w14:val="60000"/>
            </w14:srgbClr>
          </w14:shadow>
        </w:rPr>
      </w:pPr>
    </w:p>
    <w:p>
      <w:pPr>
        <w:autoSpaceDE w:val="0"/>
        <w:autoSpaceDN w:val="0"/>
        <w:adjustRightInd w:val="0"/>
        <w:snapToGrid w:val="0"/>
        <w:spacing w:line="360" w:lineRule="auto"/>
        <w:jc w:val="center"/>
        <w:rPr>
          <w:rFonts w:eastAsia="黑体"/>
          <w:color w:val="auto"/>
          <w:sz w:val="44"/>
          <w:szCs w:val="44"/>
          <w:highlight w:val="none"/>
        </w:rPr>
      </w:pPr>
      <w:r>
        <w:rPr>
          <w:rFonts w:hint="eastAsia" w:eastAsia="黑体"/>
          <w:color w:val="auto"/>
          <w:sz w:val="44"/>
          <w:szCs w:val="44"/>
          <w:highlight w:val="none"/>
        </w:rPr>
        <w:t>中水淮河规划设计研究有限公司员工</w:t>
      </w:r>
    </w:p>
    <w:p>
      <w:pPr>
        <w:autoSpaceDE w:val="0"/>
        <w:autoSpaceDN w:val="0"/>
        <w:adjustRightInd w:val="0"/>
        <w:snapToGrid w:val="0"/>
        <w:spacing w:line="360" w:lineRule="auto"/>
        <w:jc w:val="center"/>
        <w:rPr>
          <w:rFonts w:ascii="仿宋" w:hAnsi="仿宋" w:eastAsia="黑体" w:cs="仿宋"/>
          <w:b/>
          <w:color w:val="auto"/>
          <w:sz w:val="44"/>
          <w:szCs w:val="44"/>
          <w:highlight w:val="none"/>
        </w:rPr>
      </w:pPr>
      <w:r>
        <w:rPr>
          <w:rFonts w:hint="eastAsia" w:eastAsia="黑体"/>
          <w:color w:val="auto"/>
          <w:sz w:val="44"/>
          <w:szCs w:val="44"/>
          <w:highlight w:val="none"/>
        </w:rPr>
        <w:t>活动中心项目</w:t>
      </w:r>
    </w:p>
    <w:p>
      <w:pPr>
        <w:rPr>
          <w:rFonts w:ascii="仿宋" w:hAnsi="仿宋" w:eastAsia="仿宋" w:cs="仿宋"/>
          <w:color w:val="auto"/>
          <w:highlight w:val="none"/>
        </w:rPr>
      </w:pPr>
    </w:p>
    <w:p>
      <w:pPr>
        <w:autoSpaceDE w:val="0"/>
        <w:autoSpaceDN w:val="0"/>
        <w:adjustRightInd w:val="0"/>
        <w:snapToGrid w:val="0"/>
        <w:spacing w:before="312" w:beforeLines="100" w:line="360" w:lineRule="auto"/>
        <w:jc w:val="center"/>
        <w:rPr>
          <w:rFonts w:ascii="仿宋" w:hAnsi="仿宋" w:eastAsia="仿宋" w:cs="仿宋"/>
          <w:b/>
          <w:color w:val="auto"/>
          <w:spacing w:val="20"/>
          <w:sz w:val="72"/>
          <w:szCs w:val="72"/>
          <w:highlight w:val="none"/>
        </w:rPr>
      </w:pPr>
      <w:r>
        <w:rPr>
          <w:rFonts w:hint="eastAsia" w:ascii="仿宋" w:hAnsi="仿宋" w:eastAsia="仿宋" w:cs="仿宋"/>
          <w:b/>
          <w:color w:val="auto"/>
          <w:spacing w:val="20"/>
          <w:sz w:val="72"/>
          <w:szCs w:val="72"/>
          <w:highlight w:val="none"/>
        </w:rPr>
        <w:t>询比采购文件</w:t>
      </w:r>
    </w:p>
    <w:p>
      <w:pPr>
        <w:pStyle w:val="22"/>
        <w:spacing w:line="360" w:lineRule="auto"/>
        <w:jc w:val="center"/>
        <w:rPr>
          <w:rFonts w:ascii="仿宋" w:hAnsi="仿宋" w:eastAsia="仿宋" w:cs="仿宋"/>
          <w:b w:val="0"/>
          <w:color w:val="auto"/>
          <w:spacing w:val="20"/>
          <w:sz w:val="40"/>
          <w:szCs w:val="40"/>
          <w:highlight w:val="none"/>
        </w:rPr>
      </w:pPr>
      <w:r>
        <w:rPr>
          <w:rFonts w:ascii="Times New Roman"/>
          <w:b w:val="0"/>
          <w:color w:val="auto"/>
          <w:sz w:val="32"/>
          <w:highlight w:val="none"/>
        </w:rPr>
        <w:t>（项目编号：</w:t>
      </w:r>
      <w:r>
        <w:rPr>
          <w:rFonts w:hint="eastAsia" w:ascii="Times New Roman"/>
          <w:color w:val="auto"/>
          <w:sz w:val="32"/>
          <w:szCs w:val="22"/>
          <w:highlight w:val="none"/>
        </w:rPr>
        <w:t>ZSHH-2020-002</w:t>
      </w:r>
      <w:r>
        <w:rPr>
          <w:rFonts w:ascii="Times New Roman"/>
          <w:b w:val="0"/>
          <w:color w:val="auto"/>
          <w:sz w:val="32"/>
          <w:highlight w:val="none"/>
        </w:rPr>
        <w:t>）</w:t>
      </w:r>
    </w:p>
    <w:p>
      <w:pPr>
        <w:jc w:val="center"/>
        <w:rPr>
          <w:rFonts w:cs="宋体"/>
          <w:b/>
          <w:color w:val="auto"/>
          <w:sz w:val="32"/>
          <w:szCs w:val="32"/>
          <w:highlight w:val="none"/>
        </w:rPr>
      </w:pPr>
    </w:p>
    <w:p>
      <w:pPr>
        <w:jc w:val="center"/>
        <w:rPr>
          <w:rFonts w:ascii="仿宋" w:hAnsi="仿宋" w:eastAsia="仿宋" w:cs="仿宋"/>
          <w:b/>
          <w:color w:val="auto"/>
          <w:sz w:val="32"/>
          <w:szCs w:val="32"/>
          <w:highlight w:val="none"/>
        </w:rPr>
      </w:pPr>
      <w:r>
        <w:rPr>
          <w:b/>
          <w:color w:val="auto"/>
          <w:sz w:val="32"/>
          <w:szCs w:val="32"/>
          <w:highlight w:val="none"/>
        </w:rPr>
        <w:drawing>
          <wp:inline distT="0" distB="0" distL="114300" distR="114300">
            <wp:extent cx="3354070" cy="2614295"/>
            <wp:effectExtent l="0" t="0" r="17780" b="1460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a:srcRect l="7681"/>
                    <a:stretch>
                      <a:fillRect/>
                    </a:stretch>
                  </pic:blipFill>
                  <pic:spPr>
                    <a:xfrm>
                      <a:off x="0" y="0"/>
                      <a:ext cx="3354070" cy="2614295"/>
                    </a:xfrm>
                    <a:prstGeom prst="rect">
                      <a:avLst/>
                    </a:prstGeom>
                    <a:noFill/>
                    <a:ln>
                      <a:noFill/>
                    </a:ln>
                  </pic:spPr>
                </pic:pic>
              </a:graphicData>
            </a:graphic>
          </wp:inline>
        </w:drawing>
      </w:r>
    </w:p>
    <w:p>
      <w:pPr>
        <w:spacing w:line="360" w:lineRule="auto"/>
        <w:ind w:left="1440" w:leftChars="600"/>
        <w:jc w:val="left"/>
        <w:rPr>
          <w:rFonts w:ascii="仿宋" w:hAnsi="仿宋" w:eastAsia="仿宋" w:cs="仿宋"/>
          <w:b/>
          <w:color w:val="auto"/>
          <w:sz w:val="32"/>
          <w:szCs w:val="32"/>
          <w:highlight w:val="none"/>
        </w:rPr>
      </w:pPr>
    </w:p>
    <w:p>
      <w:pPr>
        <w:spacing w:line="360" w:lineRule="auto"/>
        <w:ind w:left="1440" w:leftChars="600"/>
        <w:jc w:val="left"/>
        <w:rPr>
          <w:rFonts w:ascii="仿宋" w:hAnsi="仿宋" w:eastAsia="仿宋" w:cs="仿宋"/>
          <w:b/>
          <w:color w:val="auto"/>
          <w:spacing w:val="5"/>
          <w:w w:val="99"/>
          <w:sz w:val="32"/>
          <w:szCs w:val="32"/>
          <w:highlight w:val="none"/>
        </w:rPr>
      </w:pPr>
      <w:r>
        <w:rPr>
          <w:rFonts w:hint="eastAsia" w:ascii="仿宋" w:hAnsi="仿宋" w:eastAsia="仿宋" w:cs="仿宋"/>
          <w:b/>
          <w:color w:val="auto"/>
          <w:spacing w:val="32"/>
          <w:sz w:val="32"/>
          <w:szCs w:val="32"/>
          <w:highlight w:val="none"/>
          <w:fitText w:val="1926" w:id="0"/>
        </w:rPr>
        <w:t>采 购 人</w:t>
      </w:r>
      <w:r>
        <w:rPr>
          <w:rFonts w:hint="eastAsia" w:ascii="仿宋" w:hAnsi="仿宋" w:eastAsia="仿宋" w:cs="仿宋"/>
          <w:b/>
          <w:color w:val="auto"/>
          <w:sz w:val="32"/>
          <w:szCs w:val="32"/>
          <w:highlight w:val="none"/>
          <w:fitText w:val="1926" w:id="0"/>
        </w:rPr>
        <w:t>：</w:t>
      </w:r>
      <w:r>
        <w:rPr>
          <w:rFonts w:hint="eastAsia" w:ascii="仿宋" w:hAnsi="仿宋" w:eastAsia="仿宋" w:cs="仿宋"/>
          <w:b/>
          <w:color w:val="auto"/>
          <w:spacing w:val="24"/>
          <w:sz w:val="32"/>
          <w:szCs w:val="32"/>
          <w:highlight w:val="none"/>
        </w:rPr>
        <w:t>中水淮河规划设计研究有限公</w:t>
      </w:r>
      <w:r>
        <w:rPr>
          <w:rFonts w:hint="eastAsia" w:ascii="仿宋" w:hAnsi="仿宋" w:eastAsia="仿宋" w:cs="仿宋"/>
          <w:b/>
          <w:color w:val="auto"/>
          <w:spacing w:val="7"/>
          <w:sz w:val="32"/>
          <w:szCs w:val="32"/>
          <w:highlight w:val="none"/>
        </w:rPr>
        <w:t>司</w:t>
      </w:r>
    </w:p>
    <w:p>
      <w:pPr>
        <w:spacing w:line="360" w:lineRule="auto"/>
        <w:ind w:left="1440" w:leftChars="600"/>
        <w:jc w:val="left"/>
        <w:rPr>
          <w:rFonts w:hint="eastAsia" w:ascii="仿宋" w:hAnsi="仿宋" w:eastAsia="仿宋" w:cs="仿宋"/>
          <w:b/>
          <w:color w:val="auto"/>
          <w:spacing w:val="24"/>
          <w:sz w:val="32"/>
          <w:szCs w:val="32"/>
          <w:highlight w:val="none"/>
        </w:rPr>
      </w:pPr>
      <w:r>
        <w:rPr>
          <w:rFonts w:hint="eastAsia" w:ascii="仿宋" w:hAnsi="仿宋" w:eastAsia="仿宋" w:cs="仿宋"/>
          <w:b/>
          <w:color w:val="auto"/>
          <w:spacing w:val="24"/>
          <w:sz w:val="32"/>
          <w:szCs w:val="32"/>
          <w:highlight w:val="none"/>
        </w:rPr>
        <w:t>采购代理机构：安徽安兆工程技术咨询服务有限公司</w:t>
      </w:r>
    </w:p>
    <w:p>
      <w:pPr>
        <w:spacing w:line="360" w:lineRule="auto"/>
        <w:ind w:firstLine="707" w:firstLineChars="220"/>
        <w:jc w:val="center"/>
        <w:rPr>
          <w:b/>
          <w:bCs/>
          <w:color w:val="auto"/>
          <w:sz w:val="32"/>
          <w:szCs w:val="32"/>
          <w:highlight w:val="none"/>
        </w:rPr>
      </w:pPr>
      <w:r>
        <w:rPr>
          <w:rFonts w:hint="eastAsia" w:ascii="仿宋" w:hAnsi="仿宋" w:eastAsia="仿宋" w:cs="仿宋"/>
          <w:b/>
          <w:bCs/>
          <w:color w:val="auto"/>
          <w:sz w:val="32"/>
          <w:szCs w:val="32"/>
          <w:highlight w:val="none"/>
        </w:rPr>
        <w:t>日    期：二〇二〇年七月</w:t>
      </w:r>
    </w:p>
    <w:p>
      <w:pPr>
        <w:tabs>
          <w:tab w:val="left" w:pos="2410"/>
        </w:tabs>
        <w:autoSpaceDE w:val="0"/>
        <w:autoSpaceDN w:val="0"/>
        <w:adjustRightInd w:val="0"/>
        <w:snapToGrid w:val="0"/>
        <w:spacing w:line="360" w:lineRule="auto"/>
        <w:ind w:firstLine="1257" w:firstLineChars="348"/>
        <w:jc w:val="left"/>
        <w:rPr>
          <w:rFonts w:hAnsi="DotumChe" w:cs="宋体"/>
          <w:b/>
          <w:color w:val="auto"/>
          <w:spacing w:val="20"/>
          <w:sz w:val="32"/>
          <w:szCs w:val="32"/>
          <w:highlight w:val="none"/>
        </w:rPr>
      </w:pPr>
    </w:p>
    <w:p>
      <w:pPr>
        <w:tabs>
          <w:tab w:val="left" w:pos="2410"/>
        </w:tabs>
        <w:autoSpaceDE w:val="0"/>
        <w:autoSpaceDN w:val="0"/>
        <w:adjustRightInd w:val="0"/>
        <w:snapToGrid w:val="0"/>
        <w:spacing w:line="360" w:lineRule="auto"/>
        <w:ind w:firstLine="1257" w:firstLineChars="348"/>
        <w:jc w:val="left"/>
        <w:rPr>
          <w:rFonts w:hAnsi="DotumChe" w:cs="宋体"/>
          <w:b/>
          <w:color w:val="auto"/>
          <w:spacing w:val="20"/>
          <w:sz w:val="32"/>
          <w:szCs w:val="32"/>
          <w:highlight w:val="none"/>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134" w:header="851" w:footer="992" w:gutter="0"/>
          <w:cols w:space="720" w:num="1"/>
          <w:titlePg/>
          <w:docGrid w:type="lines" w:linePitch="312" w:charSpace="0"/>
        </w:sectPr>
      </w:pPr>
    </w:p>
    <w:p>
      <w:pPr>
        <w:pStyle w:val="22"/>
        <w:jc w:val="center"/>
        <w:rPr>
          <w:rFonts w:hAnsi="宋体" w:cs="宋体"/>
          <w:b w:val="0"/>
          <w:color w:val="auto"/>
          <w:sz w:val="32"/>
          <w:szCs w:val="32"/>
          <w:highlight w:val="none"/>
        </w:rPr>
      </w:pPr>
      <w:r>
        <w:rPr>
          <w:rFonts w:hint="eastAsia" w:hAnsi="宋体" w:cs="宋体"/>
          <w:b w:val="0"/>
          <w:color w:val="auto"/>
          <w:sz w:val="32"/>
          <w:szCs w:val="32"/>
          <w:highlight w:val="none"/>
        </w:rPr>
        <w:t>目  录</w:t>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bookmarkStart w:id="0" w:name="_Hlt519045295"/>
      <w:bookmarkEnd w:id="0"/>
      <w:bookmarkStart w:id="1" w:name="_Hlt526418134"/>
      <w:bookmarkEnd w:id="1"/>
      <w:bookmarkStart w:id="2" w:name="_Hlt533241375"/>
      <w:bookmarkEnd w:id="2"/>
      <w:r>
        <w:rPr>
          <w:rFonts w:hAnsi="宋体" w:cs="宋体"/>
          <w:bCs/>
          <w:caps w:val="0"/>
          <w:color w:val="auto"/>
          <w:sz w:val="28"/>
          <w:szCs w:val="28"/>
          <w:highlight w:val="none"/>
        </w:rPr>
        <w:fldChar w:fldCharType="begin"/>
      </w:r>
      <w:r>
        <w:rPr>
          <w:rFonts w:hAnsi="宋体" w:cs="宋体"/>
          <w:bCs/>
          <w:caps w:val="0"/>
          <w:color w:val="auto"/>
          <w:sz w:val="28"/>
          <w:szCs w:val="28"/>
          <w:highlight w:val="none"/>
        </w:rPr>
        <w:instrText xml:space="preserve">TOC \o "1-2" \h \u </w:instrText>
      </w:r>
      <w:r>
        <w:rPr>
          <w:rFonts w:hAnsi="宋体" w:cs="宋体"/>
          <w:bCs/>
          <w:caps w:val="0"/>
          <w:color w:val="auto"/>
          <w:sz w:val="28"/>
          <w:szCs w:val="28"/>
          <w:highlight w:val="none"/>
        </w:rPr>
        <w:fldChar w:fldCharType="separate"/>
      </w: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_Toc24926 </w:instrText>
      </w:r>
      <w:r>
        <w:rPr>
          <w:rFonts w:hAnsi="宋体" w:cs="宋体"/>
          <w:bCs/>
          <w:caps w:val="0"/>
          <w:sz w:val="28"/>
          <w:szCs w:val="28"/>
          <w:highlight w:val="none"/>
        </w:rPr>
        <w:fldChar w:fldCharType="separate"/>
      </w:r>
      <w:r>
        <w:rPr>
          <w:rFonts w:hint="eastAsia" w:ascii="Times New Roman" w:hAnsi="Times New Roman" w:eastAsia="宋体" w:cs="Times New Roman"/>
          <w:bCs/>
          <w:caps w:val="0"/>
          <w:kern w:val="44"/>
          <w:sz w:val="28"/>
          <w:szCs w:val="28"/>
          <w:highlight w:val="none"/>
          <w:lang w:val="en-US" w:eastAsia="zh-CN" w:bidi="ar-SA"/>
        </w:rPr>
        <w:t>一、询比公告</w:t>
      </w:r>
      <w:r>
        <w:rPr>
          <w:sz w:val="28"/>
          <w:szCs w:val="28"/>
        </w:rPr>
        <w:tab/>
      </w:r>
      <w:r>
        <w:rPr>
          <w:sz w:val="28"/>
          <w:szCs w:val="28"/>
        </w:rPr>
        <w:fldChar w:fldCharType="begin"/>
      </w:r>
      <w:r>
        <w:rPr>
          <w:sz w:val="28"/>
          <w:szCs w:val="28"/>
        </w:rPr>
        <w:instrText xml:space="preserve"> PAGEREF _Toc24926 </w:instrText>
      </w:r>
      <w:r>
        <w:rPr>
          <w:sz w:val="28"/>
          <w:szCs w:val="28"/>
        </w:rPr>
        <w:fldChar w:fldCharType="separate"/>
      </w:r>
      <w:r>
        <w:rPr>
          <w:sz w:val="28"/>
          <w:szCs w:val="28"/>
        </w:rPr>
        <w:t>2</w:t>
      </w:r>
      <w:r>
        <w:rPr>
          <w:sz w:val="28"/>
          <w:szCs w:val="28"/>
        </w:rPr>
        <w:fldChar w:fldCharType="end"/>
      </w:r>
      <w:r>
        <w:rPr>
          <w:rFonts w:hAnsi="宋体" w:cs="宋体"/>
          <w:bCs/>
          <w:caps w:val="0"/>
          <w:color w:val="auto"/>
          <w:sz w:val="28"/>
          <w:szCs w:val="28"/>
          <w:highlight w:val="none"/>
        </w:rPr>
        <w:fldChar w:fldCharType="end"/>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_Toc7711 </w:instrText>
      </w:r>
      <w:r>
        <w:rPr>
          <w:rFonts w:hAnsi="宋体" w:cs="宋体"/>
          <w:bCs/>
          <w:caps w:val="0"/>
          <w:sz w:val="28"/>
          <w:szCs w:val="28"/>
          <w:highlight w:val="none"/>
        </w:rPr>
        <w:fldChar w:fldCharType="separate"/>
      </w:r>
      <w:r>
        <w:rPr>
          <w:rFonts w:hint="eastAsia"/>
          <w:sz w:val="28"/>
          <w:szCs w:val="28"/>
          <w:highlight w:val="none"/>
        </w:rPr>
        <w:t>二、供应商须知前附表</w:t>
      </w:r>
      <w:r>
        <w:rPr>
          <w:sz w:val="28"/>
          <w:szCs w:val="28"/>
        </w:rPr>
        <w:tab/>
      </w:r>
      <w:r>
        <w:rPr>
          <w:sz w:val="28"/>
          <w:szCs w:val="28"/>
        </w:rPr>
        <w:fldChar w:fldCharType="begin"/>
      </w:r>
      <w:r>
        <w:rPr>
          <w:sz w:val="28"/>
          <w:szCs w:val="28"/>
        </w:rPr>
        <w:instrText xml:space="preserve"> PAGEREF _Toc7711 </w:instrText>
      </w:r>
      <w:r>
        <w:rPr>
          <w:sz w:val="28"/>
          <w:szCs w:val="28"/>
        </w:rPr>
        <w:fldChar w:fldCharType="separate"/>
      </w:r>
      <w:r>
        <w:rPr>
          <w:sz w:val="28"/>
          <w:szCs w:val="28"/>
        </w:rPr>
        <w:t>5</w:t>
      </w:r>
      <w:r>
        <w:rPr>
          <w:sz w:val="28"/>
          <w:szCs w:val="28"/>
        </w:rPr>
        <w:fldChar w:fldCharType="end"/>
      </w:r>
      <w:r>
        <w:rPr>
          <w:rFonts w:hAnsi="宋体" w:cs="宋体"/>
          <w:bCs/>
          <w:caps w:val="0"/>
          <w:color w:val="auto"/>
          <w:sz w:val="28"/>
          <w:szCs w:val="28"/>
          <w:highlight w:val="none"/>
        </w:rPr>
        <w:fldChar w:fldCharType="end"/>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_Toc7921 </w:instrText>
      </w:r>
      <w:r>
        <w:rPr>
          <w:rFonts w:hAnsi="宋体" w:cs="宋体"/>
          <w:bCs/>
          <w:caps w:val="0"/>
          <w:sz w:val="28"/>
          <w:szCs w:val="28"/>
          <w:highlight w:val="none"/>
        </w:rPr>
        <w:fldChar w:fldCharType="separate"/>
      </w:r>
      <w:r>
        <w:rPr>
          <w:rFonts w:hint="eastAsia" w:hAnsi="宋体"/>
          <w:sz w:val="28"/>
          <w:szCs w:val="28"/>
          <w:highlight w:val="none"/>
        </w:rPr>
        <w:t>三、项目需求</w:t>
      </w:r>
      <w:r>
        <w:rPr>
          <w:sz w:val="28"/>
          <w:szCs w:val="28"/>
        </w:rPr>
        <w:tab/>
      </w:r>
      <w:r>
        <w:rPr>
          <w:sz w:val="28"/>
          <w:szCs w:val="28"/>
        </w:rPr>
        <w:fldChar w:fldCharType="begin"/>
      </w:r>
      <w:r>
        <w:rPr>
          <w:sz w:val="28"/>
          <w:szCs w:val="28"/>
        </w:rPr>
        <w:instrText xml:space="preserve"> PAGEREF _Toc7921 </w:instrText>
      </w:r>
      <w:r>
        <w:rPr>
          <w:sz w:val="28"/>
          <w:szCs w:val="28"/>
        </w:rPr>
        <w:fldChar w:fldCharType="separate"/>
      </w:r>
      <w:r>
        <w:rPr>
          <w:sz w:val="28"/>
          <w:szCs w:val="28"/>
        </w:rPr>
        <w:t>7</w:t>
      </w:r>
      <w:r>
        <w:rPr>
          <w:sz w:val="28"/>
          <w:szCs w:val="28"/>
        </w:rPr>
        <w:fldChar w:fldCharType="end"/>
      </w:r>
      <w:r>
        <w:rPr>
          <w:rFonts w:hAnsi="宋体" w:cs="宋体"/>
          <w:bCs/>
          <w:caps w:val="0"/>
          <w:color w:val="auto"/>
          <w:sz w:val="28"/>
          <w:szCs w:val="28"/>
          <w:highlight w:val="none"/>
        </w:rPr>
        <w:fldChar w:fldCharType="end"/>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_Toc12461 </w:instrText>
      </w:r>
      <w:r>
        <w:rPr>
          <w:rFonts w:hAnsi="宋体" w:cs="宋体"/>
          <w:bCs/>
          <w:caps w:val="0"/>
          <w:sz w:val="28"/>
          <w:szCs w:val="28"/>
          <w:highlight w:val="none"/>
        </w:rPr>
        <w:fldChar w:fldCharType="separate"/>
      </w:r>
      <w:r>
        <w:rPr>
          <w:rFonts w:hint="eastAsia" w:hAnsi="宋体"/>
          <w:bCs/>
          <w:sz w:val="28"/>
          <w:szCs w:val="28"/>
          <w:highlight w:val="none"/>
        </w:rPr>
        <w:t>四、供应商须知</w:t>
      </w:r>
      <w:r>
        <w:rPr>
          <w:sz w:val="28"/>
          <w:szCs w:val="28"/>
        </w:rPr>
        <w:tab/>
      </w:r>
      <w:r>
        <w:rPr>
          <w:sz w:val="28"/>
          <w:szCs w:val="28"/>
        </w:rPr>
        <w:fldChar w:fldCharType="begin"/>
      </w:r>
      <w:r>
        <w:rPr>
          <w:sz w:val="28"/>
          <w:szCs w:val="28"/>
        </w:rPr>
        <w:instrText xml:space="preserve"> PAGEREF _Toc12461 </w:instrText>
      </w:r>
      <w:r>
        <w:rPr>
          <w:sz w:val="28"/>
          <w:szCs w:val="28"/>
        </w:rPr>
        <w:fldChar w:fldCharType="separate"/>
      </w:r>
      <w:r>
        <w:rPr>
          <w:sz w:val="28"/>
          <w:szCs w:val="28"/>
        </w:rPr>
        <w:t>9</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_Toc24157 </w:instrText>
      </w:r>
      <w:r>
        <w:rPr>
          <w:rFonts w:hAnsi="宋体" w:cs="宋体"/>
          <w:bCs/>
          <w:caps w:val="0"/>
          <w:sz w:val="28"/>
          <w:szCs w:val="28"/>
          <w:highlight w:val="none"/>
        </w:rPr>
        <w:fldChar w:fldCharType="separate"/>
      </w:r>
      <w:r>
        <w:rPr>
          <w:rFonts w:hint="eastAsia" w:ascii="宋体" w:hAnsi="宋体" w:eastAsia="宋体"/>
          <w:sz w:val="28"/>
          <w:szCs w:val="28"/>
          <w:highlight w:val="none"/>
        </w:rPr>
        <w:t>（一）总    则</w:t>
      </w:r>
      <w:r>
        <w:rPr>
          <w:sz w:val="28"/>
          <w:szCs w:val="28"/>
        </w:rPr>
        <w:tab/>
      </w:r>
      <w:r>
        <w:rPr>
          <w:sz w:val="28"/>
          <w:szCs w:val="28"/>
        </w:rPr>
        <w:fldChar w:fldCharType="begin"/>
      </w:r>
      <w:r>
        <w:rPr>
          <w:sz w:val="28"/>
          <w:szCs w:val="28"/>
        </w:rPr>
        <w:instrText xml:space="preserve"> PAGEREF _Toc24157 </w:instrText>
      </w:r>
      <w:r>
        <w:rPr>
          <w:sz w:val="28"/>
          <w:szCs w:val="28"/>
        </w:rPr>
        <w:fldChar w:fldCharType="separate"/>
      </w:r>
      <w:r>
        <w:rPr>
          <w:sz w:val="28"/>
          <w:szCs w:val="28"/>
        </w:rPr>
        <w:t>9</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_Toc12968 </w:instrText>
      </w:r>
      <w:r>
        <w:rPr>
          <w:rFonts w:hAnsi="宋体" w:cs="宋体"/>
          <w:bCs/>
          <w:caps w:val="0"/>
          <w:sz w:val="28"/>
          <w:szCs w:val="28"/>
          <w:highlight w:val="none"/>
        </w:rPr>
        <w:fldChar w:fldCharType="separate"/>
      </w:r>
      <w:r>
        <w:rPr>
          <w:rFonts w:hint="eastAsia" w:ascii="宋体" w:hAnsi="宋体" w:eastAsia="宋体"/>
          <w:sz w:val="28"/>
          <w:szCs w:val="28"/>
          <w:highlight w:val="none"/>
        </w:rPr>
        <w:t>（二）询比采购文件</w:t>
      </w:r>
      <w:r>
        <w:rPr>
          <w:sz w:val="28"/>
          <w:szCs w:val="28"/>
        </w:rPr>
        <w:tab/>
      </w:r>
      <w:r>
        <w:rPr>
          <w:sz w:val="28"/>
          <w:szCs w:val="28"/>
        </w:rPr>
        <w:fldChar w:fldCharType="begin"/>
      </w:r>
      <w:r>
        <w:rPr>
          <w:sz w:val="28"/>
          <w:szCs w:val="28"/>
        </w:rPr>
        <w:instrText xml:space="preserve"> PAGEREF _Toc12968 </w:instrText>
      </w:r>
      <w:r>
        <w:rPr>
          <w:sz w:val="28"/>
          <w:szCs w:val="28"/>
        </w:rPr>
        <w:fldChar w:fldCharType="separate"/>
      </w:r>
      <w:r>
        <w:rPr>
          <w:sz w:val="28"/>
          <w:szCs w:val="28"/>
        </w:rPr>
        <w:t>11</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_Toc2149 </w:instrText>
      </w:r>
      <w:r>
        <w:rPr>
          <w:rFonts w:hAnsi="宋体" w:cs="宋体"/>
          <w:bCs/>
          <w:caps w:val="0"/>
          <w:sz w:val="28"/>
          <w:szCs w:val="28"/>
          <w:highlight w:val="none"/>
        </w:rPr>
        <w:fldChar w:fldCharType="separate"/>
      </w:r>
      <w:r>
        <w:rPr>
          <w:rFonts w:hint="eastAsia" w:ascii="宋体" w:hAnsi="宋体" w:eastAsia="宋体"/>
          <w:sz w:val="28"/>
          <w:szCs w:val="28"/>
          <w:highlight w:val="none"/>
        </w:rPr>
        <w:t>（三）响应文件的编制</w:t>
      </w:r>
      <w:r>
        <w:rPr>
          <w:sz w:val="28"/>
          <w:szCs w:val="28"/>
        </w:rPr>
        <w:tab/>
      </w:r>
      <w:r>
        <w:rPr>
          <w:sz w:val="28"/>
          <w:szCs w:val="28"/>
        </w:rPr>
        <w:fldChar w:fldCharType="begin"/>
      </w:r>
      <w:r>
        <w:rPr>
          <w:sz w:val="28"/>
          <w:szCs w:val="28"/>
        </w:rPr>
        <w:instrText xml:space="preserve"> PAGEREF _Toc2149 </w:instrText>
      </w:r>
      <w:r>
        <w:rPr>
          <w:sz w:val="28"/>
          <w:szCs w:val="28"/>
        </w:rPr>
        <w:fldChar w:fldCharType="separate"/>
      </w:r>
      <w:r>
        <w:rPr>
          <w:sz w:val="28"/>
          <w:szCs w:val="28"/>
        </w:rPr>
        <w:t>13</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_Toc3903 </w:instrText>
      </w:r>
      <w:r>
        <w:rPr>
          <w:rFonts w:hAnsi="宋体" w:cs="宋体"/>
          <w:bCs/>
          <w:caps w:val="0"/>
          <w:sz w:val="28"/>
          <w:szCs w:val="28"/>
          <w:highlight w:val="none"/>
        </w:rPr>
        <w:fldChar w:fldCharType="separate"/>
      </w:r>
      <w:r>
        <w:rPr>
          <w:rFonts w:hint="eastAsia" w:ascii="宋体" w:hAnsi="宋体" w:eastAsia="宋体"/>
          <w:sz w:val="28"/>
          <w:szCs w:val="28"/>
          <w:highlight w:val="none"/>
        </w:rPr>
        <w:t>（四）响应文件的递交</w:t>
      </w:r>
      <w:r>
        <w:rPr>
          <w:sz w:val="28"/>
          <w:szCs w:val="28"/>
        </w:rPr>
        <w:tab/>
      </w:r>
      <w:r>
        <w:rPr>
          <w:sz w:val="28"/>
          <w:szCs w:val="28"/>
        </w:rPr>
        <w:fldChar w:fldCharType="begin"/>
      </w:r>
      <w:r>
        <w:rPr>
          <w:sz w:val="28"/>
          <w:szCs w:val="28"/>
        </w:rPr>
        <w:instrText xml:space="preserve"> PAGEREF _Toc3903 </w:instrText>
      </w:r>
      <w:r>
        <w:rPr>
          <w:sz w:val="28"/>
          <w:szCs w:val="28"/>
        </w:rPr>
        <w:fldChar w:fldCharType="separate"/>
      </w:r>
      <w:r>
        <w:rPr>
          <w:sz w:val="28"/>
          <w:szCs w:val="28"/>
        </w:rPr>
        <w:t>15</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_Toc8874 </w:instrText>
      </w:r>
      <w:r>
        <w:rPr>
          <w:rFonts w:hAnsi="宋体" w:cs="宋体"/>
          <w:bCs/>
          <w:caps w:val="0"/>
          <w:sz w:val="28"/>
          <w:szCs w:val="28"/>
          <w:highlight w:val="none"/>
        </w:rPr>
        <w:fldChar w:fldCharType="separate"/>
      </w:r>
      <w:r>
        <w:rPr>
          <w:rFonts w:hint="eastAsia" w:ascii="宋体" w:hAnsi="宋体" w:eastAsia="宋体"/>
          <w:sz w:val="28"/>
          <w:szCs w:val="28"/>
          <w:highlight w:val="none"/>
        </w:rPr>
        <w:t>（五）询比与评审</w:t>
      </w:r>
      <w:r>
        <w:rPr>
          <w:sz w:val="28"/>
          <w:szCs w:val="28"/>
        </w:rPr>
        <w:tab/>
      </w:r>
      <w:r>
        <w:rPr>
          <w:sz w:val="28"/>
          <w:szCs w:val="28"/>
        </w:rPr>
        <w:fldChar w:fldCharType="begin"/>
      </w:r>
      <w:r>
        <w:rPr>
          <w:sz w:val="28"/>
          <w:szCs w:val="28"/>
        </w:rPr>
        <w:instrText xml:space="preserve"> PAGEREF _Toc8874 </w:instrText>
      </w:r>
      <w:r>
        <w:rPr>
          <w:sz w:val="28"/>
          <w:szCs w:val="28"/>
        </w:rPr>
        <w:fldChar w:fldCharType="separate"/>
      </w:r>
      <w:r>
        <w:rPr>
          <w:sz w:val="28"/>
          <w:szCs w:val="28"/>
        </w:rPr>
        <w:t>16</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_Toc28654 </w:instrText>
      </w:r>
      <w:r>
        <w:rPr>
          <w:rFonts w:hAnsi="宋体" w:cs="宋体"/>
          <w:bCs/>
          <w:caps w:val="0"/>
          <w:sz w:val="28"/>
          <w:szCs w:val="28"/>
          <w:highlight w:val="none"/>
        </w:rPr>
        <w:fldChar w:fldCharType="separate"/>
      </w:r>
      <w:r>
        <w:rPr>
          <w:rFonts w:hint="eastAsia" w:ascii="宋体" w:hAnsi="宋体" w:eastAsia="宋体"/>
          <w:sz w:val="28"/>
          <w:szCs w:val="28"/>
          <w:highlight w:val="none"/>
        </w:rPr>
        <w:t>（六）确定成交供应商与签订合同</w:t>
      </w:r>
      <w:r>
        <w:rPr>
          <w:sz w:val="28"/>
          <w:szCs w:val="28"/>
        </w:rPr>
        <w:tab/>
      </w:r>
      <w:r>
        <w:rPr>
          <w:sz w:val="28"/>
          <w:szCs w:val="28"/>
        </w:rPr>
        <w:fldChar w:fldCharType="begin"/>
      </w:r>
      <w:r>
        <w:rPr>
          <w:sz w:val="28"/>
          <w:szCs w:val="28"/>
        </w:rPr>
        <w:instrText xml:space="preserve"> PAGEREF _Toc28654 </w:instrText>
      </w:r>
      <w:r>
        <w:rPr>
          <w:sz w:val="28"/>
          <w:szCs w:val="28"/>
        </w:rPr>
        <w:fldChar w:fldCharType="separate"/>
      </w:r>
      <w:r>
        <w:rPr>
          <w:sz w:val="28"/>
          <w:szCs w:val="28"/>
        </w:rPr>
        <w:t>18</w:t>
      </w:r>
      <w:r>
        <w:rPr>
          <w:sz w:val="28"/>
          <w:szCs w:val="28"/>
        </w:rPr>
        <w:fldChar w:fldCharType="end"/>
      </w:r>
      <w:r>
        <w:rPr>
          <w:rFonts w:hAnsi="宋体" w:cs="宋体"/>
          <w:bCs/>
          <w:caps w:val="0"/>
          <w:color w:val="auto"/>
          <w:sz w:val="28"/>
          <w:szCs w:val="28"/>
          <w:highlight w:val="none"/>
        </w:rPr>
        <w:fldChar w:fldCharType="end"/>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_Toc13124 </w:instrText>
      </w:r>
      <w:r>
        <w:rPr>
          <w:rFonts w:hAnsi="宋体" w:cs="宋体"/>
          <w:bCs/>
          <w:caps w:val="0"/>
          <w:sz w:val="28"/>
          <w:szCs w:val="28"/>
          <w:highlight w:val="none"/>
        </w:rPr>
        <w:fldChar w:fldCharType="separate"/>
      </w:r>
      <w:r>
        <w:rPr>
          <w:rFonts w:hint="eastAsia" w:hAnsi="宋体" w:cs="宋体"/>
          <w:sz w:val="28"/>
          <w:szCs w:val="28"/>
          <w:highlight w:val="none"/>
          <w:lang w:bidi="ar"/>
        </w:rPr>
        <w:t>五、评审办法</w:t>
      </w:r>
      <w:r>
        <w:rPr>
          <w:sz w:val="28"/>
          <w:szCs w:val="28"/>
        </w:rPr>
        <w:tab/>
      </w:r>
      <w:r>
        <w:rPr>
          <w:sz w:val="28"/>
          <w:szCs w:val="28"/>
        </w:rPr>
        <w:fldChar w:fldCharType="begin"/>
      </w:r>
      <w:r>
        <w:rPr>
          <w:sz w:val="28"/>
          <w:szCs w:val="28"/>
        </w:rPr>
        <w:instrText xml:space="preserve"> PAGEREF _Toc13124 </w:instrText>
      </w:r>
      <w:r>
        <w:rPr>
          <w:sz w:val="28"/>
          <w:szCs w:val="28"/>
        </w:rPr>
        <w:fldChar w:fldCharType="separate"/>
      </w:r>
      <w:r>
        <w:rPr>
          <w:sz w:val="28"/>
          <w:szCs w:val="28"/>
        </w:rPr>
        <w:t>22</w:t>
      </w:r>
      <w:r>
        <w:rPr>
          <w:sz w:val="28"/>
          <w:szCs w:val="28"/>
        </w:rPr>
        <w:fldChar w:fldCharType="end"/>
      </w:r>
      <w:r>
        <w:rPr>
          <w:rFonts w:hAnsi="宋体" w:cs="宋体"/>
          <w:bCs/>
          <w:caps w:val="0"/>
          <w:color w:val="auto"/>
          <w:sz w:val="28"/>
          <w:szCs w:val="28"/>
          <w:highlight w:val="none"/>
        </w:rPr>
        <w:fldChar w:fldCharType="end"/>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_Toc25293 </w:instrText>
      </w:r>
      <w:r>
        <w:rPr>
          <w:rFonts w:hAnsi="宋体" w:cs="宋体"/>
          <w:bCs/>
          <w:caps w:val="0"/>
          <w:sz w:val="28"/>
          <w:szCs w:val="28"/>
          <w:highlight w:val="none"/>
        </w:rPr>
        <w:fldChar w:fldCharType="separate"/>
      </w:r>
      <w:r>
        <w:rPr>
          <w:rFonts w:hint="eastAsia" w:hAnsi="宋体"/>
          <w:sz w:val="28"/>
          <w:szCs w:val="28"/>
          <w:highlight w:val="none"/>
        </w:rPr>
        <w:t>六、合同条款</w:t>
      </w:r>
      <w:r>
        <w:rPr>
          <w:sz w:val="28"/>
          <w:szCs w:val="28"/>
        </w:rPr>
        <w:tab/>
      </w:r>
      <w:r>
        <w:rPr>
          <w:sz w:val="28"/>
          <w:szCs w:val="28"/>
        </w:rPr>
        <w:fldChar w:fldCharType="begin"/>
      </w:r>
      <w:r>
        <w:rPr>
          <w:sz w:val="28"/>
          <w:szCs w:val="28"/>
        </w:rPr>
        <w:instrText xml:space="preserve"> PAGEREF _Toc25293 </w:instrText>
      </w:r>
      <w:r>
        <w:rPr>
          <w:sz w:val="28"/>
          <w:szCs w:val="28"/>
        </w:rPr>
        <w:fldChar w:fldCharType="separate"/>
      </w:r>
      <w:r>
        <w:rPr>
          <w:sz w:val="28"/>
          <w:szCs w:val="28"/>
        </w:rPr>
        <w:t>27</w:t>
      </w:r>
      <w:r>
        <w:rPr>
          <w:sz w:val="28"/>
          <w:szCs w:val="28"/>
        </w:rPr>
        <w:fldChar w:fldCharType="end"/>
      </w:r>
      <w:r>
        <w:rPr>
          <w:rFonts w:hAnsi="宋体" w:cs="宋体"/>
          <w:bCs/>
          <w:caps w:val="0"/>
          <w:color w:val="auto"/>
          <w:sz w:val="28"/>
          <w:szCs w:val="28"/>
          <w:highlight w:val="none"/>
        </w:rPr>
        <w:fldChar w:fldCharType="end"/>
      </w:r>
    </w:p>
    <w:p>
      <w:pPr>
        <w:pStyle w:val="3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_Toc22940 </w:instrText>
      </w:r>
      <w:r>
        <w:rPr>
          <w:rFonts w:hAnsi="宋体" w:cs="宋体"/>
          <w:bCs/>
          <w:caps w:val="0"/>
          <w:sz w:val="28"/>
          <w:szCs w:val="28"/>
          <w:highlight w:val="none"/>
        </w:rPr>
        <w:fldChar w:fldCharType="separate"/>
      </w:r>
      <w:r>
        <w:rPr>
          <w:rFonts w:hint="eastAsia" w:hAnsi="宋体"/>
          <w:sz w:val="28"/>
          <w:szCs w:val="28"/>
          <w:highlight w:val="none"/>
        </w:rPr>
        <w:t>七、响应文件格式</w:t>
      </w:r>
      <w:r>
        <w:rPr>
          <w:sz w:val="28"/>
          <w:szCs w:val="28"/>
        </w:rPr>
        <w:tab/>
      </w:r>
      <w:r>
        <w:rPr>
          <w:sz w:val="28"/>
          <w:szCs w:val="28"/>
        </w:rPr>
        <w:fldChar w:fldCharType="begin"/>
      </w:r>
      <w:r>
        <w:rPr>
          <w:sz w:val="28"/>
          <w:szCs w:val="28"/>
        </w:rPr>
        <w:instrText xml:space="preserve"> PAGEREF _Toc22940 </w:instrText>
      </w:r>
      <w:r>
        <w:rPr>
          <w:sz w:val="28"/>
          <w:szCs w:val="28"/>
        </w:rPr>
        <w:fldChar w:fldCharType="separate"/>
      </w:r>
      <w:r>
        <w:rPr>
          <w:sz w:val="28"/>
          <w:szCs w:val="28"/>
        </w:rPr>
        <w:t>42</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_Toc2573 </w:instrText>
      </w:r>
      <w:r>
        <w:rPr>
          <w:rFonts w:hAnsi="宋体" w:cs="宋体"/>
          <w:bCs/>
          <w:caps w:val="0"/>
          <w:sz w:val="28"/>
          <w:szCs w:val="28"/>
          <w:highlight w:val="none"/>
        </w:rPr>
        <w:fldChar w:fldCharType="separate"/>
      </w:r>
      <w:r>
        <w:rPr>
          <w:rFonts w:hint="eastAsia" w:hAnsi="宋体" w:cs="宋体"/>
          <w:sz w:val="28"/>
          <w:szCs w:val="28"/>
          <w:highlight w:val="none"/>
        </w:rPr>
        <w:t>附件一</w:t>
      </w:r>
      <w:r>
        <w:rPr>
          <w:sz w:val="28"/>
          <w:szCs w:val="28"/>
        </w:rPr>
        <w:tab/>
      </w:r>
      <w:r>
        <w:rPr>
          <w:sz w:val="28"/>
          <w:szCs w:val="28"/>
        </w:rPr>
        <w:fldChar w:fldCharType="begin"/>
      </w:r>
      <w:r>
        <w:rPr>
          <w:sz w:val="28"/>
          <w:szCs w:val="28"/>
        </w:rPr>
        <w:instrText xml:space="preserve"> PAGEREF _Toc2573 </w:instrText>
      </w:r>
      <w:r>
        <w:rPr>
          <w:sz w:val="28"/>
          <w:szCs w:val="28"/>
        </w:rPr>
        <w:fldChar w:fldCharType="separate"/>
      </w:r>
      <w:r>
        <w:rPr>
          <w:sz w:val="28"/>
          <w:szCs w:val="28"/>
        </w:rPr>
        <w:t>43</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_Toc2637 </w:instrText>
      </w:r>
      <w:r>
        <w:rPr>
          <w:rFonts w:hAnsi="宋体" w:cs="宋体"/>
          <w:bCs/>
          <w:caps w:val="0"/>
          <w:sz w:val="28"/>
          <w:szCs w:val="28"/>
          <w:highlight w:val="none"/>
        </w:rPr>
        <w:fldChar w:fldCharType="separate"/>
      </w:r>
      <w:r>
        <w:rPr>
          <w:rFonts w:hint="eastAsia" w:hAnsi="宋体" w:cs="宋体"/>
          <w:sz w:val="28"/>
          <w:szCs w:val="28"/>
          <w:highlight w:val="none"/>
        </w:rPr>
        <w:t>附件二</w:t>
      </w:r>
      <w:r>
        <w:rPr>
          <w:sz w:val="28"/>
          <w:szCs w:val="28"/>
        </w:rPr>
        <w:tab/>
      </w:r>
      <w:r>
        <w:rPr>
          <w:sz w:val="28"/>
          <w:szCs w:val="28"/>
        </w:rPr>
        <w:fldChar w:fldCharType="begin"/>
      </w:r>
      <w:r>
        <w:rPr>
          <w:sz w:val="28"/>
          <w:szCs w:val="28"/>
        </w:rPr>
        <w:instrText xml:space="preserve"> PAGEREF _Toc2637 </w:instrText>
      </w:r>
      <w:r>
        <w:rPr>
          <w:sz w:val="28"/>
          <w:szCs w:val="28"/>
        </w:rPr>
        <w:fldChar w:fldCharType="separate"/>
      </w:r>
      <w:r>
        <w:rPr>
          <w:sz w:val="28"/>
          <w:szCs w:val="28"/>
        </w:rPr>
        <w:t>44</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_Toc18116 </w:instrText>
      </w:r>
      <w:r>
        <w:rPr>
          <w:rFonts w:hAnsi="宋体" w:cs="宋体"/>
          <w:bCs/>
          <w:caps w:val="0"/>
          <w:sz w:val="28"/>
          <w:szCs w:val="28"/>
          <w:highlight w:val="none"/>
        </w:rPr>
        <w:fldChar w:fldCharType="separate"/>
      </w:r>
      <w:r>
        <w:rPr>
          <w:rFonts w:hint="eastAsia" w:hAnsi="宋体" w:cs="宋体"/>
          <w:sz w:val="28"/>
          <w:szCs w:val="28"/>
          <w:highlight w:val="none"/>
        </w:rPr>
        <w:t>附件三</w:t>
      </w:r>
      <w:r>
        <w:rPr>
          <w:sz w:val="28"/>
          <w:szCs w:val="28"/>
        </w:rPr>
        <w:tab/>
      </w:r>
      <w:r>
        <w:rPr>
          <w:sz w:val="28"/>
          <w:szCs w:val="28"/>
        </w:rPr>
        <w:fldChar w:fldCharType="begin"/>
      </w:r>
      <w:r>
        <w:rPr>
          <w:sz w:val="28"/>
          <w:szCs w:val="28"/>
        </w:rPr>
        <w:instrText xml:space="preserve"> PAGEREF _Toc18116 </w:instrText>
      </w:r>
      <w:r>
        <w:rPr>
          <w:sz w:val="28"/>
          <w:szCs w:val="28"/>
        </w:rPr>
        <w:fldChar w:fldCharType="separate"/>
      </w:r>
      <w:r>
        <w:rPr>
          <w:sz w:val="28"/>
          <w:szCs w:val="28"/>
        </w:rPr>
        <w:t>45</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_Toc17392 </w:instrText>
      </w:r>
      <w:r>
        <w:rPr>
          <w:rFonts w:hAnsi="宋体" w:cs="宋体"/>
          <w:bCs/>
          <w:caps w:val="0"/>
          <w:sz w:val="28"/>
          <w:szCs w:val="28"/>
          <w:highlight w:val="none"/>
        </w:rPr>
        <w:fldChar w:fldCharType="separate"/>
      </w:r>
      <w:r>
        <w:rPr>
          <w:rFonts w:hint="eastAsia" w:hAnsi="宋体" w:cs="宋体"/>
          <w:sz w:val="28"/>
          <w:szCs w:val="28"/>
          <w:highlight w:val="none"/>
        </w:rPr>
        <w:t>附件四</w:t>
      </w:r>
      <w:r>
        <w:rPr>
          <w:sz w:val="28"/>
          <w:szCs w:val="28"/>
        </w:rPr>
        <w:tab/>
      </w:r>
      <w:r>
        <w:rPr>
          <w:sz w:val="28"/>
          <w:szCs w:val="28"/>
        </w:rPr>
        <w:fldChar w:fldCharType="begin"/>
      </w:r>
      <w:r>
        <w:rPr>
          <w:sz w:val="28"/>
          <w:szCs w:val="28"/>
        </w:rPr>
        <w:instrText xml:space="preserve"> PAGEREF _Toc17392 </w:instrText>
      </w:r>
      <w:r>
        <w:rPr>
          <w:sz w:val="28"/>
          <w:szCs w:val="28"/>
        </w:rPr>
        <w:fldChar w:fldCharType="separate"/>
      </w:r>
      <w:r>
        <w:rPr>
          <w:sz w:val="28"/>
          <w:szCs w:val="28"/>
        </w:rPr>
        <w:t>46</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_Toc13861 </w:instrText>
      </w:r>
      <w:r>
        <w:rPr>
          <w:rFonts w:hAnsi="宋体" w:cs="宋体"/>
          <w:bCs/>
          <w:caps w:val="0"/>
          <w:sz w:val="28"/>
          <w:szCs w:val="28"/>
          <w:highlight w:val="none"/>
        </w:rPr>
        <w:fldChar w:fldCharType="separate"/>
      </w:r>
      <w:r>
        <w:rPr>
          <w:rFonts w:hint="eastAsia" w:hAnsi="宋体" w:cs="宋体"/>
          <w:sz w:val="28"/>
          <w:szCs w:val="28"/>
          <w:highlight w:val="none"/>
        </w:rPr>
        <w:t>附件五</w:t>
      </w:r>
      <w:r>
        <w:rPr>
          <w:sz w:val="28"/>
          <w:szCs w:val="28"/>
        </w:rPr>
        <w:tab/>
      </w:r>
      <w:r>
        <w:rPr>
          <w:sz w:val="28"/>
          <w:szCs w:val="28"/>
        </w:rPr>
        <w:fldChar w:fldCharType="begin"/>
      </w:r>
      <w:r>
        <w:rPr>
          <w:sz w:val="28"/>
          <w:szCs w:val="28"/>
        </w:rPr>
        <w:instrText xml:space="preserve"> PAGEREF _Toc13861 </w:instrText>
      </w:r>
      <w:r>
        <w:rPr>
          <w:sz w:val="28"/>
          <w:szCs w:val="28"/>
        </w:rPr>
        <w:fldChar w:fldCharType="separate"/>
      </w:r>
      <w:r>
        <w:rPr>
          <w:sz w:val="28"/>
          <w:szCs w:val="28"/>
        </w:rPr>
        <w:t>47</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_Toc24071 </w:instrText>
      </w:r>
      <w:r>
        <w:rPr>
          <w:rFonts w:hAnsi="宋体" w:cs="宋体"/>
          <w:bCs/>
          <w:caps w:val="0"/>
          <w:sz w:val="28"/>
          <w:szCs w:val="28"/>
          <w:highlight w:val="none"/>
        </w:rPr>
        <w:fldChar w:fldCharType="separate"/>
      </w:r>
      <w:r>
        <w:rPr>
          <w:rFonts w:hint="eastAsia" w:hAnsi="宋体" w:cs="宋体"/>
          <w:sz w:val="28"/>
          <w:szCs w:val="28"/>
          <w:highlight w:val="none"/>
        </w:rPr>
        <w:t>附件六</w:t>
      </w:r>
      <w:r>
        <w:rPr>
          <w:sz w:val="28"/>
          <w:szCs w:val="28"/>
        </w:rPr>
        <w:tab/>
      </w:r>
      <w:r>
        <w:rPr>
          <w:sz w:val="28"/>
          <w:szCs w:val="28"/>
        </w:rPr>
        <w:fldChar w:fldCharType="begin"/>
      </w:r>
      <w:r>
        <w:rPr>
          <w:sz w:val="28"/>
          <w:szCs w:val="28"/>
        </w:rPr>
        <w:instrText xml:space="preserve"> PAGEREF _Toc24071 </w:instrText>
      </w:r>
      <w:r>
        <w:rPr>
          <w:sz w:val="28"/>
          <w:szCs w:val="28"/>
        </w:rPr>
        <w:fldChar w:fldCharType="separate"/>
      </w:r>
      <w:r>
        <w:rPr>
          <w:sz w:val="28"/>
          <w:szCs w:val="28"/>
        </w:rPr>
        <w:t>50</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rPr>
          <w:sz w:val="28"/>
          <w:szCs w:val="28"/>
        </w:rPr>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_Toc30678 </w:instrText>
      </w:r>
      <w:r>
        <w:rPr>
          <w:rFonts w:hAnsi="宋体" w:cs="宋体"/>
          <w:bCs/>
          <w:caps w:val="0"/>
          <w:sz w:val="28"/>
          <w:szCs w:val="28"/>
          <w:highlight w:val="none"/>
        </w:rPr>
        <w:fldChar w:fldCharType="separate"/>
      </w:r>
      <w:r>
        <w:rPr>
          <w:rFonts w:hint="eastAsia" w:hAnsi="宋体" w:cs="宋体"/>
          <w:sz w:val="28"/>
          <w:szCs w:val="28"/>
          <w:highlight w:val="none"/>
        </w:rPr>
        <w:t>附件七</w:t>
      </w:r>
      <w:r>
        <w:rPr>
          <w:sz w:val="28"/>
          <w:szCs w:val="28"/>
        </w:rPr>
        <w:tab/>
      </w:r>
      <w:r>
        <w:rPr>
          <w:sz w:val="28"/>
          <w:szCs w:val="28"/>
        </w:rPr>
        <w:fldChar w:fldCharType="begin"/>
      </w:r>
      <w:r>
        <w:rPr>
          <w:sz w:val="28"/>
          <w:szCs w:val="28"/>
        </w:rPr>
        <w:instrText xml:space="preserve"> PAGEREF _Toc30678 </w:instrText>
      </w:r>
      <w:r>
        <w:rPr>
          <w:sz w:val="28"/>
          <w:szCs w:val="28"/>
        </w:rPr>
        <w:fldChar w:fldCharType="separate"/>
      </w:r>
      <w:r>
        <w:rPr>
          <w:sz w:val="28"/>
          <w:szCs w:val="28"/>
        </w:rPr>
        <w:t>52</w:t>
      </w:r>
      <w:r>
        <w:rPr>
          <w:sz w:val="28"/>
          <w:szCs w:val="28"/>
        </w:rPr>
        <w:fldChar w:fldCharType="end"/>
      </w:r>
      <w:r>
        <w:rPr>
          <w:rFonts w:hAnsi="宋体" w:cs="宋体"/>
          <w:bCs/>
          <w:caps w:val="0"/>
          <w:color w:val="auto"/>
          <w:sz w:val="28"/>
          <w:szCs w:val="28"/>
          <w:highlight w:val="none"/>
        </w:rPr>
        <w:fldChar w:fldCharType="end"/>
      </w:r>
    </w:p>
    <w:p>
      <w:pPr>
        <w:pStyle w:val="48"/>
        <w:keepNext w:val="0"/>
        <w:keepLines w:val="0"/>
        <w:pageBreakBefore w:val="0"/>
        <w:widowControl w:val="0"/>
        <w:tabs>
          <w:tab w:val="right" w:leader="dot" w:pos="9638"/>
        </w:tabs>
        <w:kinsoku/>
        <w:wordWrap/>
        <w:overflowPunct/>
        <w:topLinePunct w:val="0"/>
        <w:autoSpaceDE/>
        <w:autoSpaceDN/>
        <w:bidi w:val="0"/>
        <w:adjustRightInd w:val="0"/>
        <w:snapToGrid w:val="0"/>
        <w:spacing w:line="360" w:lineRule="auto"/>
        <w:textAlignment w:val="auto"/>
      </w:pPr>
      <w:r>
        <w:rPr>
          <w:rFonts w:hAnsi="宋体" w:cs="宋体"/>
          <w:bCs/>
          <w:caps w:val="0"/>
          <w:color w:val="auto"/>
          <w:sz w:val="28"/>
          <w:szCs w:val="28"/>
          <w:highlight w:val="none"/>
        </w:rPr>
        <w:fldChar w:fldCharType="begin"/>
      </w:r>
      <w:r>
        <w:rPr>
          <w:rFonts w:hAnsi="宋体" w:cs="宋体"/>
          <w:bCs/>
          <w:caps w:val="0"/>
          <w:sz w:val="28"/>
          <w:szCs w:val="28"/>
          <w:highlight w:val="none"/>
        </w:rPr>
        <w:instrText xml:space="preserve"> HYPERLINK \l _Toc3899 </w:instrText>
      </w:r>
      <w:r>
        <w:rPr>
          <w:rFonts w:hAnsi="宋体" w:cs="宋体"/>
          <w:bCs/>
          <w:caps w:val="0"/>
          <w:sz w:val="28"/>
          <w:szCs w:val="28"/>
          <w:highlight w:val="none"/>
        </w:rPr>
        <w:fldChar w:fldCharType="separate"/>
      </w:r>
      <w:r>
        <w:rPr>
          <w:rFonts w:hint="eastAsia" w:hAnsi="宋体" w:cs="宋体"/>
          <w:sz w:val="28"/>
          <w:szCs w:val="28"/>
          <w:highlight w:val="none"/>
        </w:rPr>
        <w:t>附件八</w:t>
      </w:r>
      <w:r>
        <w:rPr>
          <w:sz w:val="28"/>
          <w:szCs w:val="28"/>
        </w:rPr>
        <w:tab/>
      </w:r>
      <w:r>
        <w:rPr>
          <w:sz w:val="28"/>
          <w:szCs w:val="28"/>
        </w:rPr>
        <w:fldChar w:fldCharType="begin"/>
      </w:r>
      <w:r>
        <w:rPr>
          <w:sz w:val="28"/>
          <w:szCs w:val="28"/>
        </w:rPr>
        <w:instrText xml:space="preserve"> PAGEREF _Toc3899 </w:instrText>
      </w:r>
      <w:r>
        <w:rPr>
          <w:sz w:val="28"/>
          <w:szCs w:val="28"/>
        </w:rPr>
        <w:fldChar w:fldCharType="separate"/>
      </w:r>
      <w:r>
        <w:rPr>
          <w:sz w:val="28"/>
          <w:szCs w:val="28"/>
        </w:rPr>
        <w:t>55</w:t>
      </w:r>
      <w:r>
        <w:rPr>
          <w:sz w:val="28"/>
          <w:szCs w:val="28"/>
        </w:rPr>
        <w:fldChar w:fldCharType="end"/>
      </w:r>
      <w:r>
        <w:rPr>
          <w:rFonts w:hAnsi="宋体" w:cs="宋体"/>
          <w:bCs/>
          <w:caps w:val="0"/>
          <w:color w:val="auto"/>
          <w:sz w:val="28"/>
          <w:szCs w:val="28"/>
          <w:highlight w:val="none"/>
        </w:rPr>
        <w:fldChar w:fldCharType="end"/>
      </w:r>
    </w:p>
    <w:p>
      <w:pPr>
        <w:pStyle w:val="3"/>
        <w:spacing w:before="260" w:after="260" w:line="500" w:lineRule="exact"/>
        <w:jc w:val="center"/>
        <w:rPr>
          <w:rFonts w:hAnsi="宋体" w:cs="宋体"/>
          <w:bCs/>
          <w:caps w:val="0"/>
          <w:color w:val="auto"/>
          <w:szCs w:val="28"/>
          <w:highlight w:val="none"/>
        </w:rPr>
      </w:pPr>
      <w:r>
        <w:rPr>
          <w:rFonts w:hAnsi="宋体" w:cs="宋体"/>
          <w:bCs/>
          <w:caps w:val="0"/>
          <w:color w:val="auto"/>
          <w:szCs w:val="28"/>
          <w:highlight w:val="none"/>
        </w:rPr>
        <w:fldChar w:fldCharType="end"/>
      </w:r>
      <w:bookmarkStart w:id="3" w:name="_Toc14235"/>
      <w:bookmarkStart w:id="4" w:name="_Toc16484"/>
      <w:bookmarkStart w:id="5" w:name="_Toc24926"/>
      <w:bookmarkStart w:id="6" w:name="_Toc3960"/>
      <w:bookmarkStart w:id="7" w:name="_Toc32026"/>
    </w:p>
    <w:p>
      <w:pPr>
        <w:rPr>
          <w:rFonts w:hAnsi="宋体" w:cs="宋体"/>
          <w:bCs/>
          <w:caps w:val="0"/>
          <w:color w:val="auto"/>
          <w:szCs w:val="28"/>
          <w:highlight w:val="none"/>
        </w:rPr>
      </w:pPr>
      <w:r>
        <w:rPr>
          <w:rFonts w:hAnsi="宋体" w:cs="宋体"/>
          <w:bCs/>
          <w:caps w:val="0"/>
          <w:color w:val="auto"/>
          <w:szCs w:val="28"/>
          <w:highlight w:val="none"/>
        </w:rPr>
        <w:br w:type="page"/>
      </w:r>
    </w:p>
    <w:p>
      <w:pPr>
        <w:pStyle w:val="3"/>
        <w:spacing w:before="260" w:after="260" w:line="500" w:lineRule="exact"/>
        <w:jc w:val="center"/>
        <w:rPr>
          <w:rFonts w:hint="eastAsia" w:ascii="Times New Roman" w:hAnsi="Times New Roman" w:eastAsia="宋体" w:cs="Times New Roman"/>
          <w:b/>
          <w:bCs/>
          <w:caps w:val="0"/>
          <w:color w:val="auto"/>
          <w:kern w:val="44"/>
          <w:sz w:val="30"/>
          <w:szCs w:val="44"/>
          <w:highlight w:val="none"/>
          <w:lang w:val="en-US" w:eastAsia="zh-CN" w:bidi="ar-SA"/>
        </w:rPr>
      </w:pPr>
      <w:r>
        <w:rPr>
          <w:rFonts w:hint="eastAsia" w:ascii="Times New Roman" w:hAnsi="Times New Roman" w:eastAsia="宋体" w:cs="Times New Roman"/>
          <w:b/>
          <w:bCs/>
          <w:caps w:val="0"/>
          <w:color w:val="auto"/>
          <w:kern w:val="44"/>
          <w:sz w:val="30"/>
          <w:szCs w:val="44"/>
          <w:highlight w:val="none"/>
          <w:lang w:val="en-US" w:eastAsia="zh-CN" w:bidi="ar-SA"/>
        </w:rPr>
        <w:t>一、询比公告</w:t>
      </w:r>
      <w:bookmarkEnd w:id="3"/>
      <w:bookmarkEnd w:id="4"/>
      <w:bookmarkEnd w:id="5"/>
      <w:bookmarkEnd w:id="6"/>
      <w:bookmarkEnd w:id="7"/>
    </w:p>
    <w:p>
      <w:pPr>
        <w:pStyle w:val="89"/>
        <w:widowControl w:val="0"/>
        <w:autoSpaceDE w:val="0"/>
        <w:autoSpaceDN w:val="0"/>
        <w:adjustRightInd w:val="0"/>
        <w:spacing w:before="0" w:after="0" w:line="360" w:lineRule="auto"/>
        <w:ind w:left="720" w:leftChars="300" w:right="720" w:rightChars="300" w:firstLine="0" w:firstLineChars="0"/>
        <w:jc w:val="center"/>
        <w:rPr>
          <w:rFonts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中水淮河规划设计研究有限公司员工活动中心项目</w:t>
      </w:r>
    </w:p>
    <w:p>
      <w:pPr>
        <w:pStyle w:val="89"/>
        <w:widowControl w:val="0"/>
        <w:autoSpaceDE w:val="0"/>
        <w:autoSpaceDN w:val="0"/>
        <w:adjustRightInd w:val="0"/>
        <w:spacing w:before="0" w:after="0" w:line="360" w:lineRule="auto"/>
        <w:rPr>
          <w:rFonts w:ascii="宋体" w:hAnsi="宋体" w:eastAsia="宋体" w:cs="宋体"/>
          <w:color w:val="auto"/>
          <w:kern w:val="2"/>
          <w:szCs w:val="18"/>
          <w:highlight w:val="none"/>
        </w:rPr>
      </w:pPr>
      <w:r>
        <w:rPr>
          <w:rFonts w:hint="eastAsia" w:ascii="宋体" w:hAnsi="宋体" w:eastAsia="宋体" w:cs="宋体"/>
          <w:color w:val="auto"/>
          <w:kern w:val="2"/>
          <w:szCs w:val="18"/>
          <w:highlight w:val="none"/>
        </w:rPr>
        <w:t>安徽安兆工程技术咨询服务有限公司受中水淮河规划设计研究有限公司委托，现对“中水淮河规划设计研究有限公司员工活动中心项目”采用询比方式进行采购，欢迎具备条件的国内供应商参加询比。</w:t>
      </w:r>
    </w:p>
    <w:p>
      <w:pPr>
        <w:autoSpaceDE w:val="0"/>
        <w:autoSpaceDN w:val="0"/>
        <w:adjustRightInd w:val="0"/>
        <w:spacing w:line="360" w:lineRule="auto"/>
        <w:ind w:firstLine="482" w:firstLineChars="200"/>
        <w:jc w:val="left"/>
        <w:rPr>
          <w:rFonts w:hAnsi="宋体" w:cs="宋体"/>
          <w:b/>
          <w:bCs/>
          <w:color w:val="auto"/>
          <w:szCs w:val="18"/>
          <w:highlight w:val="none"/>
        </w:rPr>
      </w:pPr>
      <w:r>
        <w:rPr>
          <w:rFonts w:hint="eastAsia" w:hAnsi="宋体" w:cs="宋体"/>
          <w:b/>
          <w:bCs/>
          <w:color w:val="auto"/>
          <w:szCs w:val="18"/>
          <w:highlight w:val="none"/>
        </w:rPr>
        <w:t>一、项目名称及内容</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1、项目编号：ZSHH-2020-002</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2、项目名称：中水淮河规划设计研究有限公司员工活动中心项目</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3、项目单位：中水淮河规划设计研究有限公司</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4、资金来源：自筹资金</w:t>
      </w:r>
    </w:p>
    <w:p>
      <w:pPr>
        <w:autoSpaceDE w:val="0"/>
        <w:autoSpaceDN w:val="0"/>
        <w:adjustRightInd w:val="0"/>
        <w:spacing w:line="360" w:lineRule="auto"/>
        <w:ind w:firstLine="480" w:firstLineChars="200"/>
        <w:jc w:val="left"/>
        <w:rPr>
          <w:rFonts w:hAnsi="宋体" w:cs="宋体"/>
          <w:b/>
          <w:bCs/>
          <w:color w:val="auto"/>
          <w:szCs w:val="18"/>
          <w:highlight w:val="none"/>
        </w:rPr>
      </w:pPr>
      <w:r>
        <w:rPr>
          <w:rFonts w:hint="eastAsia" w:hAnsi="宋体" w:cs="宋体"/>
          <w:color w:val="auto"/>
          <w:szCs w:val="18"/>
          <w:highlight w:val="none"/>
        </w:rPr>
        <w:t>5、项目预算：50</w:t>
      </w:r>
      <w:r>
        <w:rPr>
          <w:rFonts w:hint="eastAsia" w:hAnsi="宋体" w:cs="宋体"/>
          <w:bCs/>
          <w:color w:val="auto"/>
          <w:szCs w:val="18"/>
          <w:highlight w:val="none"/>
        </w:rPr>
        <w:t>万元</w:t>
      </w:r>
      <w:bookmarkStart w:id="218" w:name="_GoBack"/>
      <w:bookmarkEnd w:id="218"/>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6、项目概况与采购</w:t>
      </w:r>
      <w:r>
        <w:rPr>
          <w:rFonts w:hAnsi="宋体" w:cs="宋体"/>
          <w:color w:val="auto"/>
          <w:szCs w:val="18"/>
          <w:highlight w:val="none"/>
        </w:rPr>
        <w:t>内容</w:t>
      </w:r>
      <w:r>
        <w:rPr>
          <w:rFonts w:hint="eastAsia" w:hAnsi="宋体" w:cs="宋体"/>
          <w:color w:val="auto"/>
          <w:szCs w:val="18"/>
          <w:highlight w:val="none"/>
        </w:rPr>
        <w:t>：中水淮河规划设计研究有限公司员工活动中心项目位于合肥市滨湖新区云谷路2588号（淮委合肥水利科研基地淮河科研中心辅楼）。采购</w:t>
      </w:r>
      <w:r>
        <w:rPr>
          <w:rFonts w:hAnsi="宋体" w:cs="宋体"/>
          <w:color w:val="auto"/>
          <w:szCs w:val="18"/>
          <w:highlight w:val="none"/>
        </w:rPr>
        <w:t>内容</w:t>
      </w:r>
      <w:r>
        <w:rPr>
          <w:rFonts w:hint="eastAsia" w:hAnsi="宋体" w:cs="宋体"/>
          <w:color w:val="auto"/>
          <w:szCs w:val="18"/>
          <w:highlight w:val="none"/>
        </w:rPr>
        <w:t>为中水淮河规划设计研究有限公司员工活动中心装饰装修及改造，</w:t>
      </w:r>
      <w:r>
        <w:rPr>
          <w:rFonts w:hint="eastAsia"/>
          <w:color w:val="auto"/>
          <w:highlight w:val="none"/>
        </w:rPr>
        <w:t>面积约380平方米</w:t>
      </w:r>
      <w:r>
        <w:rPr>
          <w:rFonts w:hint="eastAsia" w:hAnsi="宋体" w:cs="宋体"/>
          <w:color w:val="auto"/>
          <w:szCs w:val="18"/>
          <w:highlight w:val="none"/>
        </w:rPr>
        <w:t>。具体</w:t>
      </w:r>
      <w:r>
        <w:rPr>
          <w:rFonts w:hAnsi="宋体" w:cs="宋体"/>
          <w:color w:val="auto"/>
          <w:szCs w:val="18"/>
          <w:highlight w:val="none"/>
        </w:rPr>
        <w:t>详见</w:t>
      </w:r>
      <w:r>
        <w:rPr>
          <w:rFonts w:hint="eastAsia" w:hAnsi="宋体" w:cs="宋体"/>
          <w:color w:val="auto"/>
          <w:szCs w:val="18"/>
          <w:highlight w:val="none"/>
        </w:rPr>
        <w:t>询比采购文件</w:t>
      </w:r>
      <w:r>
        <w:rPr>
          <w:rFonts w:hAnsi="宋体" w:cs="宋体"/>
          <w:color w:val="auto"/>
          <w:szCs w:val="18"/>
          <w:highlight w:val="none"/>
        </w:rPr>
        <w:t>。</w:t>
      </w:r>
    </w:p>
    <w:p>
      <w:pPr>
        <w:autoSpaceDE w:val="0"/>
        <w:autoSpaceDN w:val="0"/>
        <w:adjustRightInd w:val="0"/>
        <w:spacing w:line="360" w:lineRule="auto"/>
        <w:ind w:firstLine="482" w:firstLineChars="200"/>
        <w:jc w:val="left"/>
        <w:rPr>
          <w:rFonts w:hAnsi="宋体" w:cs="宋体"/>
          <w:b/>
          <w:bCs/>
          <w:color w:val="auto"/>
          <w:szCs w:val="18"/>
          <w:highlight w:val="none"/>
        </w:rPr>
      </w:pPr>
      <w:r>
        <w:rPr>
          <w:rFonts w:hint="eastAsia" w:hAnsi="宋体" w:cs="宋体"/>
          <w:b/>
          <w:bCs/>
          <w:color w:val="auto"/>
          <w:szCs w:val="18"/>
          <w:highlight w:val="none"/>
        </w:rPr>
        <w:t>二、供应商资格</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1、资质要求：在中华人民共和国境内注册的独立法人。</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2、营业执照要求：经营范围需包含以下任一内容：装饰、装修、体育工程、体育器材等相关字样。</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3、供应商存在以下不良信用记录情形之一的，不得推荐为成交候选供应商，不得确定为成交供应商：</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（1）供应商被人民法院列入失信被执行人的；</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（2）供应商或其法定代表人被人民检察院列入行贿犯罪档案的；</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（3）供应商被市场监督管理部门（含工商行政管理部门）列入企业经营异常名录的；</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（4）供应商被税务部门列入重大税收违法案件当事人名单的；</w:t>
      </w:r>
    </w:p>
    <w:p>
      <w:pPr>
        <w:widowControl/>
        <w:spacing w:line="360" w:lineRule="auto"/>
        <w:ind w:firstLine="480" w:firstLineChars="200"/>
        <w:rPr>
          <w:rFonts w:hAnsi="宋体" w:cs="宋体"/>
          <w:color w:val="auto"/>
          <w:szCs w:val="18"/>
          <w:highlight w:val="none"/>
        </w:rPr>
      </w:pPr>
      <w:r>
        <w:rPr>
          <w:rFonts w:hint="eastAsia" w:hAnsi="宋体" w:cs="宋体"/>
          <w:color w:val="auto"/>
          <w:szCs w:val="18"/>
          <w:highlight w:val="none"/>
        </w:rPr>
        <w:t>（5）供应商被政府采购监管部门列入政府采购严重违法失信行为记录名单的。</w:t>
      </w:r>
    </w:p>
    <w:p>
      <w:pPr>
        <w:pStyle w:val="23"/>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三、询比采购文件获取办法</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1、询比采购文件获取方式：</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（1）获取时间：2020年</w:t>
      </w:r>
      <w:r>
        <w:rPr>
          <w:rFonts w:hint="eastAsia" w:hAnsi="宋体" w:cs="宋体"/>
          <w:color w:val="auto"/>
          <w:szCs w:val="18"/>
          <w:highlight w:val="none"/>
          <w:lang w:val="en-US" w:eastAsia="zh-CN"/>
        </w:rPr>
        <w:t>7</w:t>
      </w:r>
      <w:r>
        <w:rPr>
          <w:rFonts w:hint="eastAsia" w:hAnsi="宋体" w:cs="宋体"/>
          <w:color w:val="auto"/>
          <w:szCs w:val="18"/>
          <w:highlight w:val="none"/>
        </w:rPr>
        <w:t>月</w:t>
      </w:r>
      <w:r>
        <w:rPr>
          <w:rFonts w:hint="eastAsia" w:hAnsi="宋体" w:cs="宋体"/>
          <w:color w:val="auto"/>
          <w:szCs w:val="18"/>
          <w:highlight w:val="none"/>
          <w:lang w:val="en-US" w:eastAsia="zh-CN"/>
        </w:rPr>
        <w:t>31</w:t>
      </w:r>
      <w:r>
        <w:rPr>
          <w:rFonts w:hint="eastAsia" w:hAnsi="宋体" w:cs="宋体"/>
          <w:color w:val="auto"/>
          <w:szCs w:val="18"/>
          <w:highlight w:val="none"/>
        </w:rPr>
        <w:t>日9:00至2020年</w:t>
      </w:r>
      <w:r>
        <w:rPr>
          <w:rFonts w:hint="eastAsia" w:hAnsi="宋体" w:cs="宋体"/>
          <w:color w:val="auto"/>
          <w:szCs w:val="18"/>
          <w:highlight w:val="none"/>
          <w:lang w:val="en-US" w:eastAsia="zh-CN"/>
        </w:rPr>
        <w:t>8</w:t>
      </w:r>
      <w:r>
        <w:rPr>
          <w:rFonts w:hint="eastAsia" w:hAnsi="宋体" w:cs="宋体"/>
          <w:color w:val="auto"/>
          <w:szCs w:val="18"/>
          <w:highlight w:val="none"/>
        </w:rPr>
        <w:t>月</w:t>
      </w:r>
      <w:r>
        <w:rPr>
          <w:rFonts w:hint="eastAsia" w:hAnsi="宋体" w:cs="宋体"/>
          <w:color w:val="auto"/>
          <w:szCs w:val="18"/>
          <w:highlight w:val="none"/>
          <w:lang w:val="en-US" w:eastAsia="zh-CN"/>
        </w:rPr>
        <w:t>7</w:t>
      </w:r>
      <w:r>
        <w:rPr>
          <w:rFonts w:hint="eastAsia" w:hAnsi="宋体" w:cs="宋体"/>
          <w:color w:val="auto"/>
          <w:szCs w:val="18"/>
          <w:highlight w:val="none"/>
        </w:rPr>
        <w:t>日17:00。供应商可以自行下载询比采购文件，但必须在获取时间内完成交费，否则响应文件无效。</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2）供应商在规定时间内按照“网上购买招标文件须知（网址：http://www.ahanzhao.cn/Detail/10001/da442c7b-946e-430f-a56c-708f5ba05cb4）”要求完成询比采购文件获取登记和交费手续。如遇问题，联系电话：0551-65707329/0552-3092286。</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2、询比采购文件下载方式：登陆水利部淮河水利委员会•安徽省水利厅电子交易平台（http://www.anzhaobid.com/），“交易信息--其他交易”栏（http://www.anzhaobid.com/jyxx/002003/002003001/list.html），自行下载，在本项目询比采购公告下方自行下载询比采购文件，供应商未及时下载责任自负。</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3、询比采购文件价格：400元/套，售后不退。</w:t>
      </w:r>
    </w:p>
    <w:p>
      <w:pPr>
        <w:autoSpaceDE w:val="0"/>
        <w:autoSpaceDN w:val="0"/>
        <w:adjustRightInd w:val="0"/>
        <w:spacing w:line="360" w:lineRule="auto"/>
        <w:ind w:firstLine="482" w:firstLineChars="200"/>
        <w:jc w:val="left"/>
        <w:rPr>
          <w:rFonts w:hAnsi="宋体" w:cs="宋体"/>
          <w:b/>
          <w:bCs/>
          <w:color w:val="auto"/>
          <w:szCs w:val="18"/>
          <w:highlight w:val="none"/>
        </w:rPr>
      </w:pPr>
      <w:r>
        <w:rPr>
          <w:rFonts w:hint="eastAsia" w:hAnsi="宋体" w:cs="宋体"/>
          <w:b/>
          <w:bCs/>
          <w:color w:val="auto"/>
          <w:szCs w:val="18"/>
          <w:highlight w:val="none"/>
        </w:rPr>
        <w:t>四、询比时间及地点</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1、询比时间：2020年</w:t>
      </w:r>
      <w:r>
        <w:rPr>
          <w:rFonts w:hAnsi="宋体" w:cs="宋体"/>
          <w:color w:val="auto"/>
          <w:szCs w:val="18"/>
          <w:highlight w:val="none"/>
        </w:rPr>
        <w:t>8</w:t>
      </w:r>
      <w:r>
        <w:rPr>
          <w:rFonts w:hint="eastAsia" w:hAnsi="宋体" w:cs="宋体"/>
          <w:color w:val="auto"/>
          <w:szCs w:val="18"/>
          <w:highlight w:val="none"/>
        </w:rPr>
        <w:t>月</w:t>
      </w:r>
      <w:r>
        <w:rPr>
          <w:rFonts w:hAnsi="宋体" w:cs="宋体"/>
          <w:color w:val="auto"/>
          <w:szCs w:val="18"/>
          <w:highlight w:val="none"/>
        </w:rPr>
        <w:t>11</w:t>
      </w:r>
      <w:r>
        <w:rPr>
          <w:rFonts w:hint="eastAsia" w:hAnsi="宋体" w:cs="宋体"/>
          <w:color w:val="auto"/>
          <w:szCs w:val="18"/>
          <w:highlight w:val="none"/>
        </w:rPr>
        <w:t>日</w:t>
      </w:r>
      <w:r>
        <w:rPr>
          <w:rFonts w:hAnsi="宋体" w:cs="宋体"/>
          <w:color w:val="auto"/>
          <w:szCs w:val="18"/>
          <w:highlight w:val="none"/>
        </w:rPr>
        <w:t>9</w:t>
      </w:r>
      <w:r>
        <w:rPr>
          <w:rFonts w:hint="eastAsia" w:hAnsi="宋体" w:cs="宋体"/>
          <w:color w:val="auto"/>
          <w:szCs w:val="18"/>
          <w:highlight w:val="none"/>
        </w:rPr>
        <w:t>时</w:t>
      </w:r>
      <w:r>
        <w:rPr>
          <w:rFonts w:hAnsi="宋体" w:cs="宋体"/>
          <w:color w:val="auto"/>
          <w:szCs w:val="18"/>
          <w:highlight w:val="none"/>
        </w:rPr>
        <w:t>30</w:t>
      </w:r>
      <w:r>
        <w:rPr>
          <w:rFonts w:hint="eastAsia" w:hAnsi="宋体" w:cs="宋体"/>
          <w:color w:val="auto"/>
          <w:szCs w:val="18"/>
          <w:highlight w:val="none"/>
        </w:rPr>
        <w:t>分</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 xml:space="preserve">2、询比地点：合肥市滨湖新区徽州大道与云谷路交口西北角淮河科研中心12楼第一会议室。                     </w:t>
      </w:r>
    </w:p>
    <w:p>
      <w:pPr>
        <w:autoSpaceDE w:val="0"/>
        <w:autoSpaceDN w:val="0"/>
        <w:adjustRightInd w:val="0"/>
        <w:spacing w:line="360" w:lineRule="auto"/>
        <w:ind w:firstLine="482" w:firstLineChars="200"/>
        <w:jc w:val="left"/>
        <w:rPr>
          <w:rFonts w:hAnsi="宋体" w:cs="宋体"/>
          <w:b/>
          <w:bCs/>
          <w:color w:val="auto"/>
          <w:szCs w:val="18"/>
          <w:highlight w:val="none"/>
        </w:rPr>
      </w:pPr>
      <w:r>
        <w:rPr>
          <w:rFonts w:hint="eastAsia" w:hAnsi="宋体" w:cs="宋体"/>
          <w:b/>
          <w:bCs/>
          <w:color w:val="auto"/>
          <w:szCs w:val="18"/>
          <w:highlight w:val="none"/>
        </w:rPr>
        <w:t>五、响应文件提交截止时间</w:t>
      </w:r>
    </w:p>
    <w:p>
      <w:pPr>
        <w:autoSpaceDE w:val="0"/>
        <w:autoSpaceDN w:val="0"/>
        <w:adjustRightInd w:val="0"/>
        <w:spacing w:line="360" w:lineRule="auto"/>
        <w:ind w:firstLine="480" w:firstLineChars="200"/>
        <w:jc w:val="left"/>
        <w:rPr>
          <w:rFonts w:hAnsi="宋体" w:cs="宋体"/>
          <w:color w:val="auto"/>
          <w:szCs w:val="18"/>
          <w:highlight w:val="none"/>
        </w:rPr>
      </w:pPr>
      <w:r>
        <w:rPr>
          <w:rFonts w:hint="eastAsia" w:hAnsi="宋体" w:cs="宋体"/>
          <w:color w:val="auto"/>
          <w:szCs w:val="18"/>
          <w:highlight w:val="none"/>
        </w:rPr>
        <w:t>同询比时间。</w:t>
      </w:r>
    </w:p>
    <w:p>
      <w:pPr>
        <w:autoSpaceDE w:val="0"/>
        <w:autoSpaceDN w:val="0"/>
        <w:adjustRightInd w:val="0"/>
        <w:spacing w:line="360" w:lineRule="auto"/>
        <w:ind w:firstLine="482" w:firstLineChars="200"/>
        <w:jc w:val="left"/>
        <w:rPr>
          <w:rFonts w:hAnsi="宋体" w:cs="宋体"/>
          <w:b/>
          <w:bCs/>
          <w:color w:val="auto"/>
          <w:szCs w:val="18"/>
          <w:highlight w:val="none"/>
        </w:rPr>
      </w:pPr>
      <w:r>
        <w:rPr>
          <w:rFonts w:hint="eastAsia" w:hAnsi="宋体" w:cs="宋体"/>
          <w:b/>
          <w:bCs/>
          <w:color w:val="auto"/>
          <w:szCs w:val="18"/>
          <w:highlight w:val="none"/>
        </w:rPr>
        <w:t>六、联系方法</w:t>
      </w:r>
    </w:p>
    <w:p>
      <w:pPr>
        <w:widowControl/>
        <w:shd w:val="clear" w:color="auto" w:fill="FFFFFF"/>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（一）项目单位：中水淮河规划设计研究有限公司</w:t>
      </w:r>
    </w:p>
    <w:p>
      <w:pPr>
        <w:widowControl/>
        <w:shd w:val="clear" w:color="auto" w:fill="FFFFFF"/>
        <w:spacing w:line="360" w:lineRule="auto"/>
        <w:ind w:firstLine="1200" w:firstLineChars="500"/>
        <w:jc w:val="left"/>
        <w:rPr>
          <w:rFonts w:hAnsi="宋体" w:cs="宋体"/>
          <w:color w:val="auto"/>
          <w:szCs w:val="24"/>
          <w:highlight w:val="none"/>
        </w:rPr>
      </w:pPr>
      <w:r>
        <w:rPr>
          <w:rFonts w:hint="eastAsia" w:hAnsi="宋体" w:cs="宋体"/>
          <w:color w:val="auto"/>
          <w:szCs w:val="24"/>
          <w:highlight w:val="none"/>
        </w:rPr>
        <w:t>联系人：刘工</w:t>
      </w:r>
    </w:p>
    <w:p>
      <w:pPr>
        <w:widowControl/>
        <w:shd w:val="clear" w:color="auto" w:fill="FFFFFF"/>
        <w:spacing w:line="360" w:lineRule="auto"/>
        <w:ind w:firstLine="1200" w:firstLineChars="500"/>
        <w:jc w:val="left"/>
        <w:rPr>
          <w:rFonts w:hAnsi="宋体" w:cs="宋体"/>
          <w:color w:val="auto"/>
          <w:szCs w:val="24"/>
          <w:highlight w:val="none"/>
        </w:rPr>
      </w:pPr>
      <w:r>
        <w:rPr>
          <w:rFonts w:hint="eastAsia" w:hAnsi="宋体" w:cs="宋体"/>
          <w:color w:val="auto"/>
          <w:szCs w:val="24"/>
          <w:highlight w:val="none"/>
        </w:rPr>
        <w:t>地  址：合肥市滨湖新区云谷路2588号淮河科研中心</w:t>
      </w:r>
    </w:p>
    <w:p>
      <w:pPr>
        <w:widowControl/>
        <w:shd w:val="clear" w:color="auto" w:fill="FFFFFF"/>
        <w:spacing w:line="360" w:lineRule="auto"/>
        <w:ind w:firstLine="1200" w:firstLineChars="500"/>
        <w:jc w:val="left"/>
        <w:rPr>
          <w:rFonts w:hAnsi="宋体" w:cs="宋体"/>
          <w:color w:val="auto"/>
          <w:szCs w:val="24"/>
          <w:highlight w:val="none"/>
        </w:rPr>
      </w:pPr>
      <w:r>
        <w:rPr>
          <w:rFonts w:hint="eastAsia" w:hAnsi="宋体" w:cs="宋体"/>
          <w:color w:val="auto"/>
          <w:szCs w:val="24"/>
          <w:highlight w:val="none"/>
        </w:rPr>
        <w:t>电  话：0551-65707</w:t>
      </w:r>
      <w:r>
        <w:rPr>
          <w:rFonts w:hAnsi="宋体" w:cs="宋体"/>
          <w:color w:val="auto"/>
          <w:szCs w:val="24"/>
          <w:highlight w:val="none"/>
        </w:rPr>
        <w:t>518</w:t>
      </w:r>
    </w:p>
    <w:p>
      <w:pPr>
        <w:widowControl/>
        <w:shd w:val="clear" w:color="auto" w:fill="FFFFFF"/>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（二）采购代理机构：安徽安兆工程技术咨询服务有限公司</w:t>
      </w:r>
    </w:p>
    <w:p>
      <w:pPr>
        <w:widowControl/>
        <w:shd w:val="clear" w:color="auto" w:fill="FFFFFF"/>
        <w:spacing w:line="360" w:lineRule="auto"/>
        <w:ind w:firstLine="1200" w:firstLineChars="500"/>
        <w:jc w:val="left"/>
        <w:rPr>
          <w:rFonts w:hAnsi="宋体" w:cs="宋体"/>
          <w:color w:val="auto"/>
          <w:szCs w:val="24"/>
          <w:highlight w:val="none"/>
        </w:rPr>
      </w:pPr>
      <w:r>
        <w:rPr>
          <w:rFonts w:hint="eastAsia" w:hAnsi="宋体" w:cs="宋体"/>
          <w:color w:val="auto"/>
          <w:szCs w:val="24"/>
          <w:highlight w:val="none"/>
        </w:rPr>
        <w:t xml:space="preserve">地  址：合肥市滨湖新区云谷路2588号淮河科研中心12楼 </w:t>
      </w:r>
    </w:p>
    <w:p>
      <w:pPr>
        <w:widowControl/>
        <w:shd w:val="clear" w:color="auto" w:fill="FFFFFF"/>
        <w:spacing w:line="360" w:lineRule="auto"/>
        <w:ind w:firstLine="1200" w:firstLineChars="500"/>
        <w:jc w:val="left"/>
        <w:rPr>
          <w:rFonts w:hAnsi="宋体" w:cs="宋体"/>
          <w:color w:val="auto"/>
          <w:szCs w:val="24"/>
          <w:highlight w:val="none"/>
        </w:rPr>
      </w:pPr>
      <w:r>
        <w:rPr>
          <w:rFonts w:hint="eastAsia" w:hAnsi="宋体" w:cs="宋体"/>
          <w:color w:val="auto"/>
          <w:szCs w:val="24"/>
          <w:highlight w:val="none"/>
        </w:rPr>
        <w:t xml:space="preserve">联系人：王工 </w:t>
      </w:r>
    </w:p>
    <w:p>
      <w:pPr>
        <w:widowControl/>
        <w:shd w:val="clear" w:color="auto" w:fill="FFFFFF"/>
        <w:spacing w:line="360" w:lineRule="auto"/>
        <w:ind w:firstLine="1200" w:firstLineChars="500"/>
        <w:jc w:val="left"/>
        <w:rPr>
          <w:rFonts w:hAnsi="宋体" w:cs="宋体"/>
          <w:color w:val="auto"/>
          <w:szCs w:val="24"/>
          <w:highlight w:val="none"/>
        </w:rPr>
      </w:pPr>
      <w:r>
        <w:rPr>
          <w:rFonts w:hint="eastAsia" w:hAnsi="宋体" w:cs="宋体"/>
          <w:color w:val="auto"/>
          <w:szCs w:val="24"/>
          <w:highlight w:val="none"/>
        </w:rPr>
        <w:t>电  话：0551-65707329</w:t>
      </w:r>
    </w:p>
    <w:p>
      <w:pPr>
        <w:widowControl/>
        <w:shd w:val="clear" w:color="auto" w:fill="FFFFFF"/>
        <w:spacing w:line="360" w:lineRule="auto"/>
        <w:ind w:firstLine="482" w:firstLineChars="200"/>
        <w:jc w:val="left"/>
        <w:rPr>
          <w:rFonts w:hAnsi="宋体" w:cs="宋体"/>
          <w:b/>
          <w:bCs/>
          <w:color w:val="auto"/>
          <w:szCs w:val="18"/>
          <w:highlight w:val="none"/>
        </w:rPr>
      </w:pPr>
      <w:r>
        <w:rPr>
          <w:rFonts w:hint="eastAsia" w:hAnsi="宋体" w:cs="宋体"/>
          <w:b/>
          <w:bCs/>
          <w:color w:val="auto"/>
          <w:szCs w:val="18"/>
          <w:highlight w:val="none"/>
        </w:rPr>
        <w:t>七、其他事项说明</w:t>
      </w:r>
    </w:p>
    <w:p>
      <w:pPr>
        <w:autoSpaceDE w:val="0"/>
        <w:autoSpaceDN w:val="0"/>
        <w:adjustRightInd w:val="0"/>
        <w:spacing w:line="360" w:lineRule="auto"/>
        <w:ind w:firstLine="480" w:firstLineChars="200"/>
        <w:jc w:val="left"/>
        <w:rPr>
          <w:rFonts w:hAnsi="宋体" w:cs="宋体"/>
          <w:color w:val="auto"/>
          <w:szCs w:val="18"/>
          <w:highlight w:val="none"/>
        </w:rPr>
      </w:pPr>
      <w:bookmarkStart w:id="8" w:name="_Hlt510343011"/>
      <w:bookmarkStart w:id="9" w:name="_Hlt510342998"/>
      <w:r>
        <w:rPr>
          <w:rFonts w:hint="eastAsia" w:hAnsi="宋体" w:cs="宋体"/>
          <w:color w:val="auto"/>
          <w:szCs w:val="18"/>
          <w:highlight w:val="none"/>
        </w:rPr>
        <w:t>1、供应商必须在询比采购文件发售截止时间前完成获取询比采购文件登记及费用交纳，未获取询比采购文件、逾期获取询比采购文件和未交费、逾期交费的询比均无效。获取询比采购文件过程中有任何疑问或问题，请与</w:t>
      </w:r>
      <w:r>
        <w:rPr>
          <w:rFonts w:hint="eastAsia" w:hAnsi="宋体" w:cs="宋体"/>
          <w:color w:val="auto"/>
          <w:szCs w:val="24"/>
          <w:highlight w:val="none"/>
        </w:rPr>
        <w:t>采购代理机构</w:t>
      </w:r>
      <w:r>
        <w:rPr>
          <w:rFonts w:hint="eastAsia" w:hAnsi="宋体" w:cs="宋体"/>
          <w:color w:val="auto"/>
          <w:szCs w:val="18"/>
          <w:highlight w:val="none"/>
        </w:rPr>
        <w:t>联系人联系。</w:t>
      </w:r>
    </w:p>
    <w:p>
      <w:pPr>
        <w:autoSpaceDE w:val="0"/>
        <w:autoSpaceDN w:val="0"/>
        <w:adjustRightInd w:val="0"/>
        <w:spacing w:line="360" w:lineRule="auto"/>
        <w:ind w:firstLine="482" w:firstLineChars="200"/>
        <w:jc w:val="left"/>
        <w:rPr>
          <w:rFonts w:hAnsi="宋体"/>
          <w:b/>
          <w:color w:val="auto"/>
          <w:szCs w:val="18"/>
          <w:highlight w:val="none"/>
        </w:rPr>
      </w:pPr>
    </w:p>
    <w:p>
      <w:pPr>
        <w:autoSpaceDE w:val="0"/>
        <w:autoSpaceDN w:val="0"/>
        <w:adjustRightInd w:val="0"/>
        <w:spacing w:line="360" w:lineRule="auto"/>
        <w:ind w:firstLine="436" w:firstLineChars="182"/>
        <w:jc w:val="right"/>
        <w:rPr>
          <w:rFonts w:hAnsi="宋体" w:cs="宋体"/>
          <w:color w:val="auto"/>
          <w:szCs w:val="18"/>
          <w:highlight w:val="none"/>
        </w:rPr>
      </w:pPr>
      <w:r>
        <w:rPr>
          <w:rFonts w:hint="eastAsia" w:hAnsi="宋体" w:cs="宋体"/>
          <w:color w:val="auto"/>
          <w:szCs w:val="18"/>
          <w:highlight w:val="none"/>
        </w:rPr>
        <w:t>安徽安兆工程技术咨询服务有限公司</w:t>
      </w:r>
    </w:p>
    <w:p>
      <w:pPr>
        <w:autoSpaceDE w:val="0"/>
        <w:autoSpaceDN w:val="0"/>
        <w:adjustRightInd w:val="0"/>
        <w:spacing w:line="360" w:lineRule="auto"/>
        <w:ind w:firstLine="6916" w:firstLineChars="2882"/>
        <w:jc w:val="left"/>
        <w:rPr>
          <w:rFonts w:hAnsi="宋体" w:cs="宋体"/>
          <w:color w:val="auto"/>
          <w:szCs w:val="18"/>
          <w:highlight w:val="none"/>
        </w:rPr>
        <w:sectPr>
          <w:footerReference r:id="rId10" w:type="first"/>
          <w:footerReference r:id="rId9" w:type="default"/>
          <w:pgSz w:w="11906" w:h="16838"/>
          <w:pgMar w:top="1134" w:right="1134" w:bottom="1134" w:left="1134" w:header="851" w:footer="992" w:gutter="0"/>
          <w:pgNumType w:start="1"/>
          <w:cols w:space="720" w:num="1"/>
          <w:titlePg/>
          <w:docGrid w:type="lines" w:linePitch="312" w:charSpace="0"/>
        </w:sectPr>
      </w:pPr>
      <w:r>
        <w:rPr>
          <w:rFonts w:hint="eastAsia" w:hAnsi="宋体" w:cs="宋体"/>
          <w:color w:val="auto"/>
          <w:szCs w:val="18"/>
          <w:highlight w:val="none"/>
        </w:rPr>
        <w:t>2020年</w:t>
      </w:r>
      <w:r>
        <w:rPr>
          <w:rFonts w:hint="eastAsia" w:hAnsi="宋体" w:cs="宋体"/>
          <w:color w:val="auto"/>
          <w:szCs w:val="18"/>
          <w:highlight w:val="none"/>
          <w:lang w:val="en-US" w:eastAsia="zh-CN"/>
        </w:rPr>
        <w:t>7</w:t>
      </w:r>
      <w:r>
        <w:rPr>
          <w:rFonts w:hint="eastAsia" w:hAnsi="宋体" w:cs="宋体"/>
          <w:color w:val="auto"/>
          <w:szCs w:val="18"/>
          <w:highlight w:val="none"/>
        </w:rPr>
        <w:t>月</w:t>
      </w:r>
      <w:r>
        <w:rPr>
          <w:rFonts w:hint="eastAsia" w:hAnsi="宋体" w:cs="宋体"/>
          <w:color w:val="auto"/>
          <w:szCs w:val="18"/>
          <w:highlight w:val="none"/>
          <w:lang w:val="en-US" w:eastAsia="zh-CN"/>
        </w:rPr>
        <w:t>31</w:t>
      </w:r>
      <w:r>
        <w:rPr>
          <w:rFonts w:hint="eastAsia" w:hAnsi="宋体" w:cs="宋体"/>
          <w:color w:val="auto"/>
          <w:szCs w:val="18"/>
          <w:highlight w:val="none"/>
        </w:rPr>
        <w:t>日</w:t>
      </w:r>
    </w:p>
    <w:p>
      <w:pPr>
        <w:pStyle w:val="3"/>
        <w:spacing w:before="260" w:after="260" w:line="500" w:lineRule="exact"/>
        <w:jc w:val="center"/>
        <w:rPr>
          <w:rFonts w:hAnsi="宋体"/>
          <w:b w:val="0"/>
          <w:color w:val="auto"/>
          <w:highlight w:val="none"/>
        </w:rPr>
      </w:pPr>
      <w:bookmarkStart w:id="10" w:name="_Toc6204"/>
      <w:bookmarkStart w:id="11" w:name="_Toc7248"/>
      <w:bookmarkStart w:id="12" w:name="_Toc7711"/>
      <w:bookmarkStart w:id="13" w:name="_Toc7332"/>
      <w:bookmarkStart w:id="14" w:name="_Toc492637208"/>
      <w:bookmarkStart w:id="15" w:name="_Toc12196"/>
      <w:r>
        <w:rPr>
          <w:rFonts w:hint="eastAsia"/>
          <w:color w:val="auto"/>
          <w:highlight w:val="none"/>
        </w:rPr>
        <w:t>二、供应商须</w:t>
      </w:r>
      <w:bookmarkEnd w:id="8"/>
      <w:r>
        <w:rPr>
          <w:rFonts w:hint="eastAsia"/>
          <w:color w:val="auto"/>
          <w:highlight w:val="none"/>
        </w:rPr>
        <w:t>知前</w:t>
      </w:r>
      <w:bookmarkEnd w:id="9"/>
      <w:r>
        <w:rPr>
          <w:rFonts w:hint="eastAsia"/>
          <w:color w:val="auto"/>
          <w:highlight w:val="none"/>
        </w:rPr>
        <w:t>附表</w:t>
      </w:r>
      <w:bookmarkEnd w:id="10"/>
      <w:bookmarkEnd w:id="11"/>
      <w:bookmarkEnd w:id="12"/>
      <w:bookmarkEnd w:id="13"/>
      <w:bookmarkEnd w:id="14"/>
      <w:bookmarkEnd w:id="15"/>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04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7" w:type="dxa"/>
            <w:vAlign w:val="center"/>
          </w:tcPr>
          <w:p>
            <w:pPr>
              <w:jc w:val="center"/>
              <w:rPr>
                <w:rFonts w:hAnsi="宋体" w:cs="宋体"/>
                <w:b/>
                <w:color w:val="auto"/>
                <w:szCs w:val="24"/>
                <w:highlight w:val="none"/>
              </w:rPr>
            </w:pPr>
            <w:r>
              <w:rPr>
                <w:rFonts w:hint="eastAsia" w:hAnsi="宋体" w:cs="宋体"/>
                <w:b/>
                <w:color w:val="auto"/>
                <w:szCs w:val="24"/>
                <w:highlight w:val="none"/>
              </w:rPr>
              <w:t>序号</w:t>
            </w:r>
          </w:p>
        </w:tc>
        <w:tc>
          <w:tcPr>
            <w:tcW w:w="2047" w:type="dxa"/>
            <w:vAlign w:val="center"/>
          </w:tcPr>
          <w:p>
            <w:pPr>
              <w:jc w:val="center"/>
              <w:rPr>
                <w:rFonts w:hAnsi="宋体" w:cs="宋体"/>
                <w:b/>
                <w:color w:val="auto"/>
                <w:szCs w:val="24"/>
                <w:highlight w:val="none"/>
              </w:rPr>
            </w:pPr>
            <w:r>
              <w:rPr>
                <w:rFonts w:hint="eastAsia" w:hAnsi="宋体" w:cs="宋体"/>
                <w:b/>
                <w:color w:val="auto"/>
                <w:szCs w:val="24"/>
                <w:highlight w:val="none"/>
              </w:rPr>
              <w:t>内容</w:t>
            </w:r>
          </w:p>
        </w:tc>
        <w:tc>
          <w:tcPr>
            <w:tcW w:w="6812" w:type="dxa"/>
            <w:vAlign w:val="center"/>
          </w:tcPr>
          <w:p>
            <w:pPr>
              <w:pStyle w:val="83"/>
              <w:widowControl w:val="0"/>
              <w:spacing w:before="0" w:beforeAutospacing="0" w:after="0" w:afterAutospacing="0"/>
              <w:rPr>
                <w:rFonts w:cs="宋体"/>
                <w:bCs w:val="0"/>
                <w:color w:val="auto"/>
                <w:kern w:val="2"/>
                <w:sz w:val="24"/>
                <w:szCs w:val="24"/>
                <w:highlight w:val="none"/>
              </w:rPr>
            </w:pPr>
            <w:r>
              <w:rPr>
                <w:rFonts w:hint="eastAsia" w:cs="宋体"/>
                <w:bCs w:val="0"/>
                <w:color w:val="auto"/>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pStyle w:val="118"/>
              <w:pBdr>
                <w:bottom w:val="none" w:color="auto" w:sz="0" w:space="0"/>
              </w:pBdr>
              <w:tabs>
                <w:tab w:val="clear" w:pos="4153"/>
                <w:tab w:val="clear" w:pos="8306"/>
              </w:tabs>
              <w:adjustRightInd/>
              <w:spacing w:line="240" w:lineRule="auto"/>
              <w:textAlignment w:val="auto"/>
              <w:rPr>
                <w:rFonts w:ascii="宋体" w:hAnsi="宋体" w:cs="宋体"/>
                <w:bCs/>
                <w:color w:val="auto"/>
                <w:kern w:val="2"/>
                <w:szCs w:val="24"/>
                <w:highlight w:val="none"/>
              </w:rPr>
            </w:pPr>
            <w:r>
              <w:rPr>
                <w:rFonts w:hint="eastAsia" w:ascii="宋体" w:hAnsi="宋体" w:cs="宋体"/>
                <w:bCs/>
                <w:color w:val="auto"/>
                <w:kern w:val="2"/>
                <w:szCs w:val="24"/>
                <w:highlight w:val="none"/>
              </w:rPr>
              <w:t>1</w:t>
            </w:r>
          </w:p>
        </w:tc>
        <w:tc>
          <w:tcPr>
            <w:tcW w:w="2047" w:type="dxa"/>
            <w:vAlign w:val="center"/>
          </w:tcPr>
          <w:p>
            <w:pPr>
              <w:jc w:val="center"/>
              <w:rPr>
                <w:rFonts w:hAnsi="宋体" w:cs="宋体"/>
                <w:bCs/>
                <w:color w:val="auto"/>
                <w:szCs w:val="24"/>
                <w:highlight w:val="none"/>
              </w:rPr>
            </w:pPr>
            <w:r>
              <w:rPr>
                <w:rFonts w:hint="eastAsia" w:hAnsi="宋体" w:cs="宋体"/>
                <w:bCs/>
                <w:color w:val="auto"/>
                <w:szCs w:val="24"/>
                <w:highlight w:val="none"/>
              </w:rPr>
              <w:t>采购人</w:t>
            </w:r>
          </w:p>
        </w:tc>
        <w:tc>
          <w:tcPr>
            <w:tcW w:w="6812" w:type="dxa"/>
            <w:vAlign w:val="center"/>
          </w:tcPr>
          <w:p>
            <w:pPr>
              <w:pStyle w:val="83"/>
              <w:widowControl w:val="0"/>
              <w:spacing w:before="0" w:beforeAutospacing="0" w:after="0" w:afterAutospacing="0"/>
              <w:jc w:val="left"/>
              <w:rPr>
                <w:rFonts w:cs="宋体"/>
                <w:b w:val="0"/>
                <w:bCs w:val="0"/>
                <w:color w:val="auto"/>
                <w:kern w:val="2"/>
                <w:sz w:val="24"/>
                <w:szCs w:val="24"/>
                <w:highlight w:val="none"/>
              </w:rPr>
            </w:pPr>
            <w:r>
              <w:rPr>
                <w:rFonts w:hint="eastAsia" w:cs="宋体"/>
                <w:b w:val="0"/>
                <w:bCs w:val="0"/>
                <w:color w:val="auto"/>
                <w:sz w:val="24"/>
                <w:szCs w:val="24"/>
                <w:highlight w:val="none"/>
              </w:rPr>
              <w:t>中水淮河规划设计研究有限公司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bCs/>
                <w:color w:val="auto"/>
                <w:szCs w:val="24"/>
                <w:highlight w:val="none"/>
              </w:rPr>
              <w:t>2</w:t>
            </w:r>
          </w:p>
        </w:tc>
        <w:tc>
          <w:tcPr>
            <w:tcW w:w="2047" w:type="dxa"/>
            <w:vAlign w:val="center"/>
          </w:tcPr>
          <w:p>
            <w:pPr>
              <w:jc w:val="center"/>
              <w:rPr>
                <w:rFonts w:hAnsi="宋体" w:cs="宋体"/>
                <w:bCs/>
                <w:color w:val="auto"/>
                <w:szCs w:val="24"/>
                <w:highlight w:val="none"/>
              </w:rPr>
            </w:pPr>
            <w:r>
              <w:rPr>
                <w:rFonts w:hint="eastAsia" w:hAnsi="宋体" w:cs="宋体"/>
                <w:bCs/>
                <w:color w:val="auto"/>
                <w:szCs w:val="24"/>
                <w:highlight w:val="none"/>
              </w:rPr>
              <w:t>委托人</w:t>
            </w:r>
          </w:p>
        </w:tc>
        <w:tc>
          <w:tcPr>
            <w:tcW w:w="6812" w:type="dxa"/>
            <w:vAlign w:val="center"/>
          </w:tcPr>
          <w:p>
            <w:pPr>
              <w:pStyle w:val="83"/>
              <w:widowControl w:val="0"/>
              <w:spacing w:before="0" w:beforeAutospacing="0" w:after="0" w:afterAutospacing="0"/>
              <w:jc w:val="left"/>
              <w:rPr>
                <w:rFonts w:cs="宋体"/>
                <w:b w:val="0"/>
                <w:bCs w:val="0"/>
                <w:color w:val="auto"/>
                <w:sz w:val="24"/>
                <w:szCs w:val="24"/>
                <w:highlight w:val="none"/>
              </w:rPr>
            </w:pPr>
            <w:r>
              <w:rPr>
                <w:rFonts w:hint="eastAsia" w:cs="宋体"/>
                <w:b w:val="0"/>
                <w:color w:val="auto"/>
                <w:sz w:val="24"/>
                <w:szCs w:val="24"/>
                <w:highlight w:val="none"/>
              </w:rPr>
              <w:t>中水淮河规划设计研究有限公司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bCs/>
                <w:color w:val="auto"/>
                <w:szCs w:val="24"/>
                <w:highlight w:val="none"/>
              </w:rPr>
              <w:t>3</w:t>
            </w:r>
          </w:p>
        </w:tc>
        <w:tc>
          <w:tcPr>
            <w:tcW w:w="2047" w:type="dxa"/>
            <w:vAlign w:val="center"/>
          </w:tcPr>
          <w:p>
            <w:pPr>
              <w:jc w:val="center"/>
              <w:rPr>
                <w:rFonts w:hAnsi="宋体" w:cs="宋体"/>
                <w:bCs/>
                <w:color w:val="auto"/>
                <w:szCs w:val="24"/>
                <w:highlight w:val="none"/>
              </w:rPr>
            </w:pPr>
            <w:r>
              <w:rPr>
                <w:rFonts w:hint="eastAsia" w:hAnsi="宋体" w:cs="宋体"/>
                <w:color w:val="auto"/>
                <w:szCs w:val="24"/>
                <w:highlight w:val="none"/>
              </w:rPr>
              <w:t>代理机构</w:t>
            </w:r>
          </w:p>
        </w:tc>
        <w:tc>
          <w:tcPr>
            <w:tcW w:w="6812" w:type="dxa"/>
            <w:vAlign w:val="center"/>
          </w:tcPr>
          <w:p>
            <w:pPr>
              <w:jc w:val="left"/>
              <w:rPr>
                <w:rFonts w:hAnsi="宋体" w:cs="宋体"/>
                <w:b/>
                <w:bCs/>
                <w:color w:val="auto"/>
                <w:szCs w:val="24"/>
                <w:highlight w:val="none"/>
              </w:rPr>
            </w:pPr>
            <w:r>
              <w:rPr>
                <w:rFonts w:hint="eastAsia" w:hAnsi="宋体" w:cs="宋体"/>
                <w:color w:val="auto"/>
                <w:szCs w:val="24"/>
                <w:highlight w:val="none"/>
                <w:lang w:val="zh-CN"/>
              </w:rPr>
              <w:t>安徽安兆工程技术咨询服务有限公司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bCs/>
                <w:color w:val="auto"/>
                <w:szCs w:val="24"/>
                <w:highlight w:val="none"/>
              </w:rPr>
              <w:t>4</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项目名称</w:t>
            </w:r>
          </w:p>
        </w:tc>
        <w:tc>
          <w:tcPr>
            <w:tcW w:w="6812" w:type="dxa"/>
            <w:vAlign w:val="center"/>
          </w:tcPr>
          <w:p>
            <w:pPr>
              <w:pStyle w:val="83"/>
              <w:widowControl w:val="0"/>
              <w:spacing w:before="0" w:beforeAutospacing="0" w:after="0" w:afterAutospacing="0"/>
              <w:jc w:val="left"/>
              <w:rPr>
                <w:rFonts w:cs="宋体"/>
                <w:b w:val="0"/>
                <w:bCs w:val="0"/>
                <w:color w:val="auto"/>
                <w:sz w:val="24"/>
                <w:szCs w:val="24"/>
                <w:highlight w:val="none"/>
              </w:rPr>
            </w:pPr>
            <w:r>
              <w:rPr>
                <w:rFonts w:hint="eastAsia" w:cs="宋体"/>
                <w:b w:val="0"/>
                <w:bCs w:val="0"/>
                <w:color w:val="auto"/>
                <w:sz w:val="24"/>
                <w:szCs w:val="24"/>
                <w:highlight w:val="none"/>
                <w:lang w:val="zh-CN"/>
              </w:rPr>
              <w:t>中水淮河规划设计研究有限公司员工活动中心项目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bCs/>
                <w:color w:val="auto"/>
                <w:szCs w:val="24"/>
                <w:highlight w:val="none"/>
              </w:rPr>
              <w:t>5</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项目编号</w:t>
            </w:r>
          </w:p>
        </w:tc>
        <w:tc>
          <w:tcPr>
            <w:tcW w:w="6812" w:type="dxa"/>
            <w:vAlign w:val="center"/>
          </w:tcPr>
          <w:p>
            <w:pPr>
              <w:pStyle w:val="83"/>
              <w:widowControl w:val="0"/>
              <w:spacing w:before="0" w:beforeAutospacing="0" w:after="0" w:afterAutospacing="0"/>
              <w:jc w:val="left"/>
              <w:rPr>
                <w:rFonts w:cs="宋体"/>
                <w:b w:val="0"/>
                <w:bCs w:val="0"/>
                <w:color w:val="auto"/>
                <w:sz w:val="24"/>
                <w:szCs w:val="24"/>
                <w:highlight w:val="none"/>
              </w:rPr>
            </w:pPr>
            <w:r>
              <w:rPr>
                <w:rFonts w:hint="eastAsia" w:cs="宋体"/>
                <w:b w:val="0"/>
                <w:bCs w:val="0"/>
                <w:color w:val="auto"/>
                <w:sz w:val="24"/>
                <w:szCs w:val="24"/>
                <w:highlight w:val="none"/>
              </w:rPr>
              <w:t>ZSHH-2020-002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bCs/>
                <w:color w:val="auto"/>
                <w:szCs w:val="24"/>
                <w:highlight w:val="none"/>
              </w:rPr>
              <w:t>6</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项目性质</w:t>
            </w:r>
          </w:p>
        </w:tc>
        <w:tc>
          <w:tcPr>
            <w:tcW w:w="6812" w:type="dxa"/>
            <w:vAlign w:val="center"/>
          </w:tcPr>
          <w:p>
            <w:pPr>
              <w:pStyle w:val="83"/>
              <w:widowControl w:val="0"/>
              <w:spacing w:before="0" w:beforeAutospacing="0" w:after="0" w:afterAutospacing="0"/>
              <w:jc w:val="left"/>
              <w:rPr>
                <w:rFonts w:cs="宋体"/>
                <w:b w:val="0"/>
                <w:bCs w:val="0"/>
                <w:color w:val="auto"/>
                <w:sz w:val="24"/>
                <w:szCs w:val="24"/>
                <w:highlight w:val="none"/>
              </w:rPr>
            </w:pPr>
            <w:r>
              <w:rPr>
                <w:rFonts w:hint="eastAsia" w:cs="宋体"/>
                <w:b w:val="0"/>
                <w:bCs w:val="0"/>
                <w:color w:val="auto"/>
                <w:sz w:val="24"/>
                <w:szCs w:val="24"/>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bCs/>
                <w:color w:val="auto"/>
                <w:szCs w:val="24"/>
                <w:highlight w:val="none"/>
              </w:rPr>
              <w:t>7</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资金来源</w:t>
            </w:r>
          </w:p>
        </w:tc>
        <w:tc>
          <w:tcPr>
            <w:tcW w:w="6812" w:type="dxa"/>
            <w:vAlign w:val="center"/>
          </w:tcPr>
          <w:p>
            <w:pPr>
              <w:pStyle w:val="83"/>
              <w:widowControl w:val="0"/>
              <w:spacing w:before="0" w:beforeAutospacing="0" w:after="0" w:afterAutospacing="0"/>
              <w:jc w:val="left"/>
              <w:rPr>
                <w:rFonts w:cs="宋体"/>
                <w:b w:val="0"/>
                <w:bCs w:val="0"/>
                <w:color w:val="auto"/>
                <w:sz w:val="24"/>
                <w:szCs w:val="24"/>
                <w:highlight w:val="none"/>
              </w:rPr>
            </w:pPr>
            <w:r>
              <w:rPr>
                <w:rFonts w:hint="eastAsia" w:cs="宋体"/>
                <w:b w:val="0"/>
                <w:bCs w:val="0"/>
                <w:color w:val="auto"/>
                <w:sz w:val="24"/>
                <w:szCs w:val="24"/>
                <w:highlight w:val="none"/>
              </w:rPr>
              <w:t>自筹</w:t>
            </w:r>
            <w:r>
              <w:rPr>
                <w:rFonts w:hint="eastAsia" w:cs="宋体"/>
                <w:b w:val="0"/>
                <w:bCs w:val="0"/>
                <w:color w:val="auto"/>
                <w:sz w:val="24"/>
                <w:szCs w:val="24"/>
                <w:highlight w:val="none"/>
                <w:lang w:val="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bCs/>
                <w:color w:val="auto"/>
                <w:szCs w:val="24"/>
                <w:highlight w:val="none"/>
              </w:rPr>
            </w:pPr>
            <w:r>
              <w:rPr>
                <w:rFonts w:hint="eastAsia" w:hAnsi="宋体" w:cs="宋体"/>
                <w:color w:val="auto"/>
                <w:szCs w:val="24"/>
                <w:highlight w:val="none"/>
              </w:rPr>
              <w:t>8</w:t>
            </w:r>
          </w:p>
        </w:tc>
        <w:tc>
          <w:tcPr>
            <w:tcW w:w="2047" w:type="dxa"/>
            <w:vAlign w:val="center"/>
          </w:tcPr>
          <w:p>
            <w:pPr>
              <w:contextualSpacing/>
              <w:jc w:val="center"/>
              <w:rPr>
                <w:rFonts w:hAnsi="宋体" w:cs="宋体"/>
                <w:b/>
                <w:color w:val="auto"/>
                <w:szCs w:val="24"/>
                <w:highlight w:val="none"/>
              </w:rPr>
            </w:pPr>
            <w:r>
              <w:rPr>
                <w:rFonts w:hint="eastAsia" w:hAnsi="宋体" w:cs="宋体"/>
                <w:b/>
                <w:color w:val="auto"/>
                <w:szCs w:val="24"/>
                <w:highlight w:val="none"/>
              </w:rPr>
              <w:t>最高限价</w:t>
            </w:r>
          </w:p>
        </w:tc>
        <w:tc>
          <w:tcPr>
            <w:tcW w:w="6812" w:type="dxa"/>
            <w:vAlign w:val="center"/>
          </w:tcPr>
          <w:p>
            <w:pPr>
              <w:contextualSpacing/>
              <w:rPr>
                <w:rFonts w:hAnsi="宋体" w:cs="宋体"/>
                <w:b/>
                <w:color w:val="auto"/>
                <w:szCs w:val="24"/>
                <w:highlight w:val="none"/>
              </w:rPr>
            </w:pPr>
            <w:r>
              <w:rPr>
                <w:rFonts w:hint="eastAsia" w:hAnsi="宋体" w:cs="宋体"/>
                <w:b/>
                <w:color w:val="auto"/>
                <w:szCs w:val="24"/>
                <w:highlight w:val="none"/>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lang w:val="zh-CN"/>
              </w:rPr>
              <w:t>9</w:t>
            </w:r>
          </w:p>
        </w:tc>
        <w:tc>
          <w:tcPr>
            <w:tcW w:w="2047" w:type="dxa"/>
            <w:vAlign w:val="center"/>
          </w:tcPr>
          <w:p>
            <w:pPr>
              <w:jc w:val="center"/>
              <w:rPr>
                <w:rFonts w:hAnsi="宋体" w:cs="宋体"/>
                <w:color w:val="auto"/>
                <w:szCs w:val="24"/>
                <w:highlight w:val="none"/>
                <w:lang w:val="zh-CN"/>
              </w:rPr>
            </w:pPr>
            <w:r>
              <w:rPr>
                <w:rFonts w:hint="eastAsia" w:hAnsi="宋体" w:cs="宋体"/>
                <w:color w:val="auto"/>
                <w:szCs w:val="24"/>
                <w:highlight w:val="none"/>
              </w:rPr>
              <w:t>标段划分</w:t>
            </w:r>
          </w:p>
        </w:tc>
        <w:tc>
          <w:tcPr>
            <w:tcW w:w="6812" w:type="dxa"/>
            <w:vAlign w:val="center"/>
          </w:tcPr>
          <w:p>
            <w:pPr>
              <w:jc w:val="left"/>
              <w:rPr>
                <w:rFonts w:hAnsi="宋体" w:cs="宋体"/>
                <w:bCs/>
                <w:color w:val="auto"/>
                <w:szCs w:val="24"/>
                <w:highlight w:val="none"/>
              </w:rPr>
            </w:pPr>
            <w:r>
              <w:rPr>
                <w:rFonts w:hint="eastAsia" w:hAnsi="宋体" w:cs="宋体"/>
                <w:color w:val="auto"/>
                <w:szCs w:val="24"/>
                <w:highlight w:val="none"/>
              </w:rPr>
              <w:t>不分标段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67" w:type="dxa"/>
            <w:vAlign w:val="center"/>
          </w:tcPr>
          <w:p>
            <w:pPr>
              <w:jc w:val="center"/>
              <w:rPr>
                <w:rFonts w:hAnsi="宋体" w:cs="宋体"/>
                <w:color w:val="auto"/>
                <w:szCs w:val="24"/>
                <w:highlight w:val="none"/>
                <w:lang w:val="zh-CN"/>
              </w:rPr>
            </w:pPr>
            <w:r>
              <w:rPr>
                <w:rFonts w:hint="eastAsia" w:hAnsi="宋体" w:cs="宋体"/>
                <w:color w:val="auto"/>
                <w:szCs w:val="24"/>
                <w:highlight w:val="none"/>
                <w:lang w:val="zh-CN"/>
              </w:rPr>
              <w:t>10</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付款方式</w:t>
            </w:r>
          </w:p>
        </w:tc>
        <w:tc>
          <w:tcPr>
            <w:tcW w:w="6812" w:type="dxa"/>
            <w:vAlign w:val="center"/>
          </w:tcPr>
          <w:p>
            <w:pPr>
              <w:rPr>
                <w:rFonts w:hAnsi="宋体" w:cs="宋体"/>
                <w:color w:val="auto"/>
                <w:szCs w:val="24"/>
                <w:highlight w:val="none"/>
              </w:rPr>
            </w:pPr>
            <w:r>
              <w:rPr>
                <w:rFonts w:hint="eastAsia" w:hAnsi="宋体" w:cs="宋体"/>
                <w:color w:val="auto"/>
                <w:szCs w:val="24"/>
                <w:highlight w:val="none"/>
              </w:rPr>
              <w:t>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67" w:type="dxa"/>
            <w:vAlign w:val="center"/>
          </w:tcPr>
          <w:p>
            <w:pPr>
              <w:jc w:val="center"/>
              <w:rPr>
                <w:rFonts w:hAnsi="宋体" w:cs="宋体"/>
                <w:color w:val="auto"/>
                <w:szCs w:val="24"/>
                <w:highlight w:val="none"/>
                <w:lang w:val="zh-CN"/>
              </w:rPr>
            </w:pPr>
            <w:r>
              <w:rPr>
                <w:rFonts w:hint="eastAsia" w:hAnsi="宋体" w:cs="宋体"/>
                <w:color w:val="auto"/>
                <w:szCs w:val="24"/>
                <w:highlight w:val="none"/>
              </w:rPr>
              <w:t>11</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联合体响应</w:t>
            </w:r>
          </w:p>
        </w:tc>
        <w:tc>
          <w:tcPr>
            <w:tcW w:w="6812" w:type="dxa"/>
            <w:vAlign w:val="center"/>
          </w:tcPr>
          <w:p>
            <w:pPr>
              <w:jc w:val="left"/>
              <w:rPr>
                <w:rFonts w:hAnsi="宋体" w:cs="宋体"/>
                <w:color w:val="auto"/>
                <w:szCs w:val="24"/>
                <w:highlight w:val="none"/>
              </w:rPr>
            </w:pPr>
            <w:r>
              <w:rPr>
                <w:rFonts w:hint="eastAsia" w:hAnsi="宋体" w:cs="宋体"/>
                <w:color w:val="auto"/>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12</w:t>
            </w:r>
          </w:p>
        </w:tc>
        <w:tc>
          <w:tcPr>
            <w:tcW w:w="2047" w:type="dxa"/>
            <w:vAlign w:val="center"/>
          </w:tcPr>
          <w:p>
            <w:pPr>
              <w:jc w:val="center"/>
              <w:rPr>
                <w:rFonts w:hAnsi="宋体" w:cs="宋体"/>
                <w:color w:val="auto"/>
                <w:szCs w:val="24"/>
                <w:highlight w:val="none"/>
                <w:lang w:val="zh-CN"/>
              </w:rPr>
            </w:pPr>
            <w:r>
              <w:rPr>
                <w:rFonts w:hint="eastAsia" w:hAnsi="宋体" w:cs="宋体"/>
                <w:color w:val="auto"/>
                <w:szCs w:val="24"/>
                <w:highlight w:val="none"/>
              </w:rPr>
              <w:t>询比有效期</w:t>
            </w:r>
          </w:p>
        </w:tc>
        <w:tc>
          <w:tcPr>
            <w:tcW w:w="6812" w:type="dxa"/>
            <w:vAlign w:val="center"/>
          </w:tcPr>
          <w:p>
            <w:pPr>
              <w:jc w:val="left"/>
              <w:rPr>
                <w:rFonts w:hAnsi="宋体" w:cs="宋体"/>
                <w:color w:val="auto"/>
                <w:szCs w:val="24"/>
                <w:highlight w:val="none"/>
              </w:rPr>
            </w:pPr>
            <w:r>
              <w:rPr>
                <w:rFonts w:hint="eastAsia" w:hAnsi="宋体" w:cs="宋体"/>
                <w:bCs/>
                <w:color w:val="auto"/>
                <w:szCs w:val="24"/>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13</w:t>
            </w:r>
          </w:p>
        </w:tc>
        <w:tc>
          <w:tcPr>
            <w:tcW w:w="2047" w:type="dxa"/>
            <w:vAlign w:val="center"/>
          </w:tcPr>
          <w:p>
            <w:pPr>
              <w:jc w:val="center"/>
              <w:rPr>
                <w:rFonts w:hAnsi="宋体" w:cs="宋体"/>
                <w:color w:val="auto"/>
                <w:szCs w:val="24"/>
                <w:highlight w:val="none"/>
              </w:rPr>
            </w:pPr>
            <w:r>
              <w:rPr>
                <w:color w:val="auto"/>
                <w:szCs w:val="21"/>
                <w:highlight w:val="none"/>
              </w:rPr>
              <w:t>建设地点</w:t>
            </w:r>
          </w:p>
        </w:tc>
        <w:tc>
          <w:tcPr>
            <w:tcW w:w="6812" w:type="dxa"/>
            <w:vAlign w:val="center"/>
          </w:tcPr>
          <w:p>
            <w:pPr>
              <w:jc w:val="left"/>
              <w:rPr>
                <w:rFonts w:hAnsi="宋体" w:cs="宋体"/>
                <w:color w:val="auto"/>
                <w:szCs w:val="24"/>
                <w:highlight w:val="none"/>
              </w:rPr>
            </w:pPr>
            <w:r>
              <w:rPr>
                <w:rFonts w:hint="eastAsia" w:hAnsi="宋体" w:cs="宋体"/>
                <w:color w:val="auto"/>
                <w:szCs w:val="24"/>
                <w:highlight w:val="none"/>
              </w:rPr>
              <w:t>合肥市滨湖新区云谷路2588号（淮委合肥水利科研基地淮河科研中心负一楼）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14</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询比范围</w:t>
            </w:r>
          </w:p>
        </w:tc>
        <w:tc>
          <w:tcPr>
            <w:tcW w:w="6812" w:type="dxa"/>
            <w:vAlign w:val="center"/>
          </w:tcPr>
          <w:p>
            <w:pPr>
              <w:jc w:val="left"/>
              <w:rPr>
                <w:rFonts w:hAnsi="宋体" w:cs="宋体"/>
                <w:color w:val="auto"/>
                <w:szCs w:val="24"/>
                <w:highlight w:val="none"/>
              </w:rPr>
            </w:pPr>
            <w:bookmarkStart w:id="16" w:name="EBaaec6e0efbd04fe5aaf01334c04785fd"/>
            <w:r>
              <w:rPr>
                <w:rFonts w:hint="eastAsia" w:hAnsi="宋体" w:cs="宋体"/>
                <w:color w:val="auto"/>
                <w:szCs w:val="24"/>
                <w:highlight w:val="none"/>
              </w:rPr>
              <w:t>询比采购文件以及补充答疑文件全部内容。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7" w:type="dxa"/>
            <w:vAlign w:val="center"/>
          </w:tcPr>
          <w:p>
            <w:pPr>
              <w:adjustRightInd w:val="0"/>
              <w:snapToGrid w:val="0"/>
              <w:jc w:val="center"/>
              <w:rPr>
                <w:rFonts w:hAnsi="宋体" w:cs="宋体"/>
                <w:color w:val="auto"/>
                <w:szCs w:val="24"/>
                <w:highlight w:val="none"/>
              </w:rPr>
            </w:pPr>
            <w:r>
              <w:rPr>
                <w:rFonts w:hint="eastAsia" w:hAnsi="宋体" w:cs="宋体"/>
                <w:color w:val="auto"/>
                <w:szCs w:val="24"/>
                <w:highlight w:val="none"/>
              </w:rPr>
              <w:t>15</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承包方式</w:t>
            </w:r>
          </w:p>
        </w:tc>
        <w:tc>
          <w:tcPr>
            <w:tcW w:w="6812" w:type="dxa"/>
            <w:vAlign w:val="center"/>
          </w:tcPr>
          <w:p>
            <w:pPr>
              <w:adjustRightInd w:val="0"/>
              <w:jc w:val="left"/>
              <w:rPr>
                <w:rFonts w:hAnsi="宋体" w:cs="宋体"/>
                <w:color w:val="auto"/>
                <w:szCs w:val="24"/>
                <w:highlight w:val="none"/>
              </w:rPr>
            </w:pPr>
            <w:r>
              <w:rPr>
                <w:rFonts w:hint="eastAsia" w:hAnsi="宋体" w:cs="宋体"/>
                <w:color w:val="auto"/>
                <w:szCs w:val="24"/>
                <w:highlight w:val="none"/>
              </w:rPr>
              <w:t>单价承包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Align w:val="center"/>
          </w:tcPr>
          <w:p>
            <w:pPr>
              <w:adjustRightInd w:val="0"/>
              <w:snapToGrid w:val="0"/>
              <w:jc w:val="center"/>
              <w:rPr>
                <w:rFonts w:hAnsi="宋体" w:cs="宋体"/>
                <w:color w:val="auto"/>
                <w:szCs w:val="24"/>
                <w:highlight w:val="none"/>
              </w:rPr>
            </w:pPr>
            <w:r>
              <w:rPr>
                <w:rFonts w:hint="eastAsia" w:hAnsi="宋体" w:cs="宋体"/>
                <w:color w:val="auto"/>
                <w:szCs w:val="24"/>
                <w:highlight w:val="none"/>
              </w:rPr>
              <w:t>16</w:t>
            </w:r>
          </w:p>
        </w:tc>
        <w:tc>
          <w:tcPr>
            <w:tcW w:w="2047" w:type="dxa"/>
            <w:vAlign w:val="center"/>
          </w:tcPr>
          <w:p>
            <w:pPr>
              <w:widowControl/>
              <w:jc w:val="center"/>
              <w:rPr>
                <w:rFonts w:hAnsi="宋体" w:cs="宋体"/>
                <w:color w:val="auto"/>
                <w:szCs w:val="24"/>
                <w:highlight w:val="none"/>
              </w:rPr>
            </w:pPr>
            <w:r>
              <w:rPr>
                <w:rFonts w:hint="eastAsia" w:hAnsi="宋体" w:cs="宋体"/>
                <w:color w:val="auto"/>
                <w:szCs w:val="24"/>
                <w:highlight w:val="none"/>
                <w:lang w:bidi="ar"/>
              </w:rPr>
              <w:t>计划工期</w:t>
            </w:r>
          </w:p>
        </w:tc>
        <w:tc>
          <w:tcPr>
            <w:tcW w:w="6812" w:type="dxa"/>
            <w:vAlign w:val="center"/>
          </w:tcPr>
          <w:p>
            <w:pPr>
              <w:spacing w:line="360" w:lineRule="auto"/>
              <w:jc w:val="left"/>
              <w:textAlignment w:val="center"/>
              <w:rPr>
                <w:rFonts w:ascii="_x000B__x000C_" w:hAnsi="_x000B__x000C_"/>
                <w:color w:val="auto"/>
                <w:szCs w:val="21"/>
                <w:highlight w:val="none"/>
              </w:rPr>
            </w:pPr>
            <w:r>
              <w:rPr>
                <w:rFonts w:hint="eastAsia" w:ascii="_x000B__x000C_" w:hAnsi="_x000B__x000C_"/>
                <w:color w:val="auto"/>
                <w:szCs w:val="21"/>
                <w:highlight w:val="none"/>
              </w:rPr>
              <w:t>计划施工工期：</w:t>
            </w:r>
            <w:r>
              <w:rPr>
                <w:rFonts w:hint="eastAsia" w:hAnsi="宋体"/>
                <w:color w:val="auto"/>
                <w:szCs w:val="21"/>
                <w:highlight w:val="none"/>
              </w:rPr>
              <w:t>40</w:t>
            </w:r>
            <w:r>
              <w:rPr>
                <w:rFonts w:hint="eastAsia" w:hAnsi="宋体"/>
                <w:bCs/>
                <w:color w:val="auto"/>
                <w:szCs w:val="21"/>
                <w:highlight w:val="none"/>
              </w:rPr>
              <w:t>日历天</w:t>
            </w:r>
            <w:r>
              <w:rPr>
                <w:rFonts w:hAnsi="宋体"/>
                <w:bCs/>
                <w:color w:val="auto"/>
                <w:szCs w:val="21"/>
                <w:highlight w:val="none"/>
              </w:rPr>
              <w:t>。</w:t>
            </w:r>
          </w:p>
          <w:p>
            <w:pPr>
              <w:widowControl/>
              <w:jc w:val="left"/>
              <w:rPr>
                <w:rFonts w:cs="宋体"/>
                <w:color w:val="auto"/>
                <w:highlight w:val="none"/>
              </w:rPr>
            </w:pPr>
            <w:r>
              <w:rPr>
                <w:rFonts w:hint="eastAsia" w:ascii="_x000B__x000C_" w:hAnsi="_x000B__x000C_"/>
                <w:color w:val="auto"/>
                <w:szCs w:val="21"/>
                <w:highlight w:val="none"/>
              </w:rPr>
              <w:t>计划开工日期：</w:t>
            </w:r>
            <w:r>
              <w:rPr>
                <w:rFonts w:hint="eastAsia" w:hAnsi="宋体"/>
                <w:color w:val="auto"/>
                <w:szCs w:val="21"/>
                <w:highlight w:val="none"/>
              </w:rPr>
              <w:t>2020</w:t>
            </w:r>
            <w:r>
              <w:rPr>
                <w:rFonts w:hint="eastAsia" w:ascii="_x000B__x000C_" w:hAnsi="_x000B__x000C_"/>
                <w:color w:val="auto"/>
                <w:szCs w:val="21"/>
                <w:highlight w:val="none"/>
              </w:rPr>
              <w:t>年</w:t>
            </w:r>
            <w:r>
              <w:rPr>
                <w:rFonts w:hint="eastAsia" w:hAnsi="宋体"/>
                <w:color w:val="auto"/>
                <w:szCs w:val="21"/>
                <w:highlight w:val="none"/>
              </w:rPr>
              <w:t>8</w:t>
            </w:r>
            <w:r>
              <w:rPr>
                <w:rFonts w:hint="eastAsia" w:ascii="_x000B__x000C_" w:hAnsi="_x000B__x000C_"/>
                <w:color w:val="auto"/>
                <w:szCs w:val="21"/>
                <w:highlight w:val="none"/>
              </w:rPr>
              <w:t>月，</w:t>
            </w:r>
            <w:r>
              <w:rPr>
                <w:rFonts w:hint="eastAsia"/>
                <w:color w:val="auto"/>
                <w:highlight w:val="none"/>
              </w:rPr>
              <w:t>具体开工日期以业主通知为准</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7" w:type="dxa"/>
            <w:vAlign w:val="center"/>
          </w:tcPr>
          <w:p>
            <w:pPr>
              <w:pStyle w:val="91"/>
              <w:spacing w:before="0" w:beforeAutospacing="0" w:after="0" w:afterAutospacing="0"/>
              <w:jc w:val="center"/>
              <w:rPr>
                <w:rFonts w:cs="宋体"/>
                <w:color w:val="auto"/>
                <w:highlight w:val="none"/>
              </w:rPr>
            </w:pPr>
            <w:r>
              <w:rPr>
                <w:rFonts w:hint="eastAsia" w:cs="宋体"/>
                <w:color w:val="auto"/>
                <w:highlight w:val="none"/>
              </w:rPr>
              <w:t>17</w:t>
            </w:r>
          </w:p>
        </w:tc>
        <w:tc>
          <w:tcPr>
            <w:tcW w:w="2047" w:type="dxa"/>
            <w:vAlign w:val="center"/>
          </w:tcPr>
          <w:p>
            <w:pPr>
              <w:pStyle w:val="91"/>
              <w:widowControl w:val="0"/>
              <w:spacing w:before="0" w:beforeAutospacing="0" w:after="0" w:afterAutospacing="0"/>
              <w:jc w:val="center"/>
              <w:rPr>
                <w:rStyle w:val="60"/>
                <w:rFonts w:cs="宋体"/>
                <w:b w:val="0"/>
                <w:color w:val="auto"/>
                <w:highlight w:val="none"/>
              </w:rPr>
            </w:pPr>
            <w:r>
              <w:rPr>
                <w:rFonts w:hint="eastAsia" w:ascii="_x000B__x000C_" w:hAnsi="_x000B__x000C_"/>
                <w:color w:val="auto"/>
                <w:szCs w:val="21"/>
                <w:highlight w:val="none"/>
              </w:rPr>
              <w:t>质量要求</w:t>
            </w:r>
          </w:p>
        </w:tc>
        <w:tc>
          <w:tcPr>
            <w:tcW w:w="6812" w:type="dxa"/>
            <w:vAlign w:val="center"/>
          </w:tcPr>
          <w:p>
            <w:pPr>
              <w:widowControl/>
              <w:jc w:val="left"/>
              <w:rPr>
                <w:rFonts w:hAnsi="宋体"/>
                <w:color w:val="auto"/>
                <w:highlight w:val="none"/>
              </w:rPr>
            </w:pPr>
            <w:r>
              <w:rPr>
                <w:color w:val="auto"/>
                <w:szCs w:val="21"/>
                <w:highlight w:val="none"/>
              </w:rPr>
              <w:t>达到合格标准</w:t>
            </w:r>
            <w:r>
              <w:rPr>
                <w:rFonts w:hint="eastAsia" w:hAnsi="宋体" w:cs="宋体"/>
                <w:color w:val="auto"/>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7" w:type="dxa"/>
            <w:vAlign w:val="center"/>
          </w:tcPr>
          <w:p>
            <w:pPr>
              <w:pStyle w:val="91"/>
              <w:spacing w:before="0" w:beforeAutospacing="0" w:after="0" w:afterAutospacing="0"/>
              <w:jc w:val="center"/>
              <w:rPr>
                <w:rFonts w:cs="宋体"/>
                <w:color w:val="auto"/>
                <w:highlight w:val="none"/>
              </w:rPr>
            </w:pPr>
            <w:r>
              <w:rPr>
                <w:rFonts w:hint="eastAsia" w:cs="宋体"/>
                <w:color w:val="auto"/>
                <w:highlight w:val="none"/>
              </w:rPr>
              <w:t>18</w:t>
            </w:r>
          </w:p>
        </w:tc>
        <w:tc>
          <w:tcPr>
            <w:tcW w:w="2047" w:type="dxa"/>
            <w:vAlign w:val="center"/>
          </w:tcPr>
          <w:p>
            <w:pPr>
              <w:pStyle w:val="91"/>
              <w:widowControl w:val="0"/>
              <w:spacing w:before="0" w:beforeAutospacing="0" w:after="0" w:afterAutospacing="0"/>
              <w:jc w:val="center"/>
              <w:rPr>
                <w:rStyle w:val="60"/>
                <w:rFonts w:cs="宋体"/>
                <w:b w:val="0"/>
                <w:color w:val="auto"/>
                <w:highlight w:val="none"/>
              </w:rPr>
            </w:pPr>
            <w:r>
              <w:rPr>
                <w:rStyle w:val="60"/>
                <w:rFonts w:hint="eastAsia" w:cs="宋体"/>
                <w:b w:val="0"/>
                <w:color w:val="auto"/>
                <w:highlight w:val="none"/>
              </w:rPr>
              <w:t>评审办法</w:t>
            </w:r>
          </w:p>
        </w:tc>
        <w:tc>
          <w:tcPr>
            <w:tcW w:w="6812" w:type="dxa"/>
            <w:vAlign w:val="center"/>
          </w:tcPr>
          <w:p>
            <w:pPr>
              <w:jc w:val="left"/>
              <w:rPr>
                <w:rFonts w:hAnsi="宋体" w:cs="宋体"/>
                <w:bCs/>
                <w:color w:val="auto"/>
                <w:szCs w:val="24"/>
                <w:highlight w:val="none"/>
              </w:rPr>
            </w:pPr>
            <w:r>
              <w:rPr>
                <w:rFonts w:hint="eastAsia" w:hAnsi="宋体"/>
                <w:color w:val="auto"/>
                <w:highlight w:val="none"/>
              </w:rPr>
              <w:t>综合评分法，详见询比采购文件</w:t>
            </w:r>
            <w:r>
              <w:rPr>
                <w:rFonts w:hint="eastAsia" w:hAnsi="宋体" w:cs="宋体"/>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7" w:type="dxa"/>
            <w:vAlign w:val="center"/>
          </w:tcPr>
          <w:p>
            <w:pPr>
              <w:pStyle w:val="91"/>
              <w:spacing w:before="0" w:beforeAutospacing="0" w:after="0" w:afterAutospacing="0"/>
              <w:jc w:val="center"/>
              <w:rPr>
                <w:rFonts w:cs="宋体"/>
                <w:color w:val="auto"/>
                <w:highlight w:val="none"/>
              </w:rPr>
            </w:pPr>
            <w:r>
              <w:rPr>
                <w:rFonts w:hint="eastAsia" w:cs="宋体"/>
                <w:color w:val="auto"/>
                <w:highlight w:val="none"/>
              </w:rPr>
              <w:t>19</w:t>
            </w:r>
          </w:p>
        </w:tc>
        <w:tc>
          <w:tcPr>
            <w:tcW w:w="2047" w:type="dxa"/>
            <w:vAlign w:val="center"/>
          </w:tcPr>
          <w:p>
            <w:pPr>
              <w:pStyle w:val="91"/>
              <w:widowControl w:val="0"/>
              <w:spacing w:before="0" w:beforeAutospacing="0" w:after="0" w:afterAutospacing="0"/>
              <w:jc w:val="center"/>
              <w:rPr>
                <w:rStyle w:val="60"/>
                <w:rFonts w:cs="宋体"/>
                <w:b w:val="0"/>
                <w:color w:val="auto"/>
                <w:highlight w:val="none"/>
              </w:rPr>
            </w:pPr>
            <w:r>
              <w:rPr>
                <w:rStyle w:val="60"/>
                <w:rFonts w:hint="eastAsia" w:cs="宋体"/>
                <w:b w:val="0"/>
                <w:color w:val="auto"/>
                <w:highlight w:val="none"/>
              </w:rPr>
              <w:t>询比保证金</w:t>
            </w:r>
          </w:p>
        </w:tc>
        <w:tc>
          <w:tcPr>
            <w:tcW w:w="6812" w:type="dxa"/>
            <w:vAlign w:val="center"/>
          </w:tcPr>
          <w:p>
            <w:pPr>
              <w:jc w:val="left"/>
              <w:rPr>
                <w:rFonts w:hAnsi="宋体"/>
                <w:color w:val="auto"/>
                <w:highlight w:val="none"/>
              </w:rPr>
            </w:pPr>
            <w:r>
              <w:rPr>
                <w:rFonts w:hint="eastAsia" w:hAnsi="宋体"/>
                <w:color w:val="auto"/>
                <w:highlight w:val="none"/>
              </w:rPr>
              <w:t>本项目不要求提交询比保证金。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7" w:type="dxa"/>
            <w:vAlign w:val="center"/>
          </w:tcPr>
          <w:p>
            <w:pPr>
              <w:pStyle w:val="91"/>
              <w:spacing w:before="0" w:beforeAutospacing="0" w:after="0" w:afterAutospacing="0"/>
              <w:jc w:val="center"/>
              <w:rPr>
                <w:rFonts w:cs="宋体"/>
                <w:color w:val="auto"/>
                <w:highlight w:val="none"/>
              </w:rPr>
            </w:pPr>
            <w:r>
              <w:rPr>
                <w:rFonts w:hint="eastAsia" w:cs="宋体"/>
                <w:color w:val="auto"/>
                <w:highlight w:val="none"/>
              </w:rPr>
              <w:t>20</w:t>
            </w:r>
          </w:p>
        </w:tc>
        <w:tc>
          <w:tcPr>
            <w:tcW w:w="2047" w:type="dxa"/>
            <w:vAlign w:val="center"/>
          </w:tcPr>
          <w:p>
            <w:pPr>
              <w:pStyle w:val="91"/>
              <w:widowControl w:val="0"/>
              <w:spacing w:before="0" w:beforeAutospacing="0" w:after="0" w:afterAutospacing="0"/>
              <w:jc w:val="center"/>
              <w:rPr>
                <w:rStyle w:val="60"/>
                <w:rFonts w:cs="宋体"/>
                <w:b w:val="0"/>
                <w:color w:val="auto"/>
                <w:highlight w:val="none"/>
              </w:rPr>
            </w:pPr>
            <w:r>
              <w:rPr>
                <w:rStyle w:val="60"/>
                <w:rFonts w:hint="eastAsia" w:cs="宋体"/>
                <w:b w:val="0"/>
                <w:color w:val="auto"/>
                <w:highlight w:val="none"/>
              </w:rPr>
              <w:t>履约保证金</w:t>
            </w:r>
          </w:p>
        </w:tc>
        <w:tc>
          <w:tcPr>
            <w:tcW w:w="6812" w:type="dxa"/>
            <w:vAlign w:val="center"/>
          </w:tcPr>
          <w:p>
            <w:pPr>
              <w:jc w:val="left"/>
              <w:rPr>
                <w:rFonts w:hAnsi="宋体"/>
                <w:color w:val="auto"/>
                <w:highlight w:val="none"/>
              </w:rPr>
            </w:pPr>
            <w:r>
              <w:rPr>
                <w:rFonts w:hint="eastAsia" w:hAnsi="宋体"/>
                <w:color w:val="auto"/>
                <w:highlight w:val="none"/>
              </w:rPr>
              <w:t>本项目不要求提交</w:t>
            </w:r>
            <w:r>
              <w:rPr>
                <w:rStyle w:val="60"/>
                <w:rFonts w:hint="eastAsia" w:cs="宋体"/>
                <w:b w:val="0"/>
                <w:color w:val="auto"/>
                <w:highlight w:val="none"/>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67" w:type="dxa"/>
            <w:vAlign w:val="center"/>
          </w:tcPr>
          <w:p>
            <w:pPr>
              <w:pStyle w:val="91"/>
              <w:spacing w:before="0" w:beforeAutospacing="0" w:after="0" w:afterAutospacing="0"/>
              <w:jc w:val="center"/>
              <w:rPr>
                <w:rFonts w:cs="宋体"/>
                <w:color w:val="auto"/>
                <w:highlight w:val="none"/>
              </w:rPr>
            </w:pPr>
            <w:r>
              <w:rPr>
                <w:rFonts w:hint="eastAsia" w:cs="宋体"/>
                <w:color w:val="auto"/>
                <w:highlight w:val="none"/>
              </w:rPr>
              <w:t>21</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响应文件</w:t>
            </w:r>
          </w:p>
          <w:p>
            <w:pPr>
              <w:jc w:val="center"/>
              <w:rPr>
                <w:rFonts w:hAnsi="宋体" w:cs="宋体"/>
                <w:color w:val="auto"/>
                <w:sz w:val="28"/>
                <w:szCs w:val="28"/>
                <w:highlight w:val="none"/>
              </w:rPr>
            </w:pPr>
            <w:r>
              <w:rPr>
                <w:rFonts w:hint="eastAsia" w:hAnsi="宋体" w:cs="宋体"/>
                <w:color w:val="auto"/>
                <w:szCs w:val="24"/>
                <w:highlight w:val="none"/>
              </w:rPr>
              <w:t>封套上写明</w:t>
            </w:r>
          </w:p>
        </w:tc>
        <w:tc>
          <w:tcPr>
            <w:tcW w:w="6812" w:type="dxa"/>
            <w:vAlign w:val="center"/>
          </w:tcPr>
          <w:p>
            <w:pPr>
              <w:rPr>
                <w:rFonts w:hAnsi="宋体" w:cs="宋体"/>
                <w:color w:val="auto"/>
                <w:szCs w:val="24"/>
                <w:highlight w:val="none"/>
                <w:u w:val="single"/>
              </w:rPr>
            </w:pPr>
            <w:r>
              <w:rPr>
                <w:rFonts w:hint="eastAsia" w:hAnsi="宋体" w:cs="宋体"/>
                <w:color w:val="auto"/>
                <w:szCs w:val="24"/>
                <w:highlight w:val="none"/>
              </w:rPr>
              <w:t>项目名称：</w:t>
            </w:r>
          </w:p>
          <w:p>
            <w:pPr>
              <w:rPr>
                <w:rFonts w:hAnsi="宋体" w:cs="宋体"/>
                <w:color w:val="auto"/>
                <w:szCs w:val="24"/>
                <w:highlight w:val="none"/>
              </w:rPr>
            </w:pPr>
            <w:r>
              <w:rPr>
                <w:rFonts w:hint="eastAsia" w:hAnsi="宋体" w:cs="宋体"/>
                <w:color w:val="auto"/>
                <w:szCs w:val="24"/>
                <w:highlight w:val="none"/>
              </w:rPr>
              <w:t>供应商名称：</w:t>
            </w:r>
          </w:p>
          <w:p>
            <w:pPr>
              <w:rPr>
                <w:rFonts w:hAnsi="宋体" w:cs="宋体"/>
                <w:color w:val="auto"/>
                <w:szCs w:val="24"/>
                <w:highlight w:val="none"/>
                <w:u w:val="single"/>
              </w:rPr>
            </w:pPr>
            <w:r>
              <w:rPr>
                <w:rFonts w:hint="eastAsia" w:hAnsi="宋体" w:cs="宋体"/>
                <w:color w:val="auto"/>
                <w:szCs w:val="24"/>
                <w:highlight w:val="none"/>
              </w:rPr>
              <w:t>供应商地址：</w:t>
            </w:r>
          </w:p>
          <w:p>
            <w:pPr>
              <w:rPr>
                <w:rFonts w:hAnsi="宋体" w:cs="宋体"/>
                <w:b/>
                <w:color w:val="auto"/>
                <w:sz w:val="28"/>
                <w:szCs w:val="28"/>
                <w:highlight w:val="none"/>
              </w:rPr>
            </w:pPr>
            <w:r>
              <w:rPr>
                <w:rFonts w:hint="eastAsia" w:hAnsi="宋体" w:cs="宋体"/>
                <w:color w:val="auto"/>
                <w:szCs w:val="24"/>
                <w:highlight w:val="none"/>
              </w:rPr>
              <w:t>在2020年</w:t>
            </w:r>
            <w:r>
              <w:rPr>
                <w:rFonts w:hAnsi="宋体" w:cs="宋体"/>
                <w:color w:val="auto"/>
                <w:szCs w:val="24"/>
                <w:highlight w:val="none"/>
              </w:rPr>
              <w:t>8</w:t>
            </w:r>
            <w:r>
              <w:rPr>
                <w:rFonts w:hint="eastAsia" w:hAnsi="宋体" w:cs="宋体"/>
                <w:color w:val="auto"/>
                <w:szCs w:val="24"/>
                <w:highlight w:val="none"/>
              </w:rPr>
              <w:t>月</w:t>
            </w:r>
            <w:r>
              <w:rPr>
                <w:rFonts w:hAnsi="宋体" w:cs="宋体"/>
                <w:color w:val="auto"/>
                <w:szCs w:val="24"/>
                <w:highlight w:val="none"/>
              </w:rPr>
              <w:t>11</w:t>
            </w:r>
            <w:r>
              <w:rPr>
                <w:rFonts w:hint="eastAsia" w:hAnsi="宋体" w:cs="宋体"/>
                <w:color w:val="auto"/>
                <w:szCs w:val="24"/>
                <w:highlight w:val="none"/>
              </w:rPr>
              <w:t>日</w:t>
            </w:r>
            <w:r>
              <w:rPr>
                <w:rFonts w:hAnsi="宋体" w:cs="宋体"/>
                <w:color w:val="auto"/>
                <w:szCs w:val="24"/>
                <w:highlight w:val="none"/>
              </w:rPr>
              <w:t>9</w:t>
            </w:r>
            <w:r>
              <w:rPr>
                <w:rFonts w:hint="eastAsia" w:hAnsi="宋体" w:cs="宋体"/>
                <w:color w:val="auto"/>
                <w:szCs w:val="24"/>
                <w:highlight w:val="none"/>
              </w:rPr>
              <w:t>时3</w:t>
            </w:r>
            <w:r>
              <w:rPr>
                <w:rFonts w:hAnsi="宋体" w:cs="宋体"/>
                <w:color w:val="auto"/>
                <w:szCs w:val="24"/>
                <w:highlight w:val="none"/>
              </w:rPr>
              <w:t>0</w:t>
            </w:r>
            <w:r>
              <w:rPr>
                <w:rFonts w:hint="eastAsia" w:hAnsi="宋体" w:cs="宋体"/>
                <w:color w:val="auto"/>
                <w:szCs w:val="24"/>
                <w:highlight w:val="none"/>
              </w:rPr>
              <w:t>分（响应文件提交截止时间）前不得开启，并加盖供应商单位公章。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22</w:t>
            </w:r>
          </w:p>
        </w:tc>
        <w:tc>
          <w:tcPr>
            <w:tcW w:w="2047" w:type="dxa"/>
            <w:vAlign w:val="center"/>
          </w:tcPr>
          <w:p>
            <w:pPr>
              <w:jc w:val="center"/>
              <w:rPr>
                <w:rFonts w:hAnsi="宋体" w:cs="宋体"/>
                <w:color w:val="auto"/>
                <w:szCs w:val="24"/>
                <w:highlight w:val="none"/>
              </w:rPr>
            </w:pPr>
            <w:r>
              <w:rPr>
                <w:rFonts w:hint="eastAsia" w:hAnsi="宋体" w:cs="宋体"/>
                <w:bCs/>
                <w:color w:val="auto"/>
                <w:szCs w:val="24"/>
                <w:highlight w:val="none"/>
              </w:rPr>
              <w:t>答疑</w:t>
            </w:r>
          </w:p>
        </w:tc>
        <w:tc>
          <w:tcPr>
            <w:tcW w:w="6812" w:type="dxa"/>
            <w:vAlign w:val="center"/>
          </w:tcPr>
          <w:p>
            <w:pPr>
              <w:jc w:val="left"/>
              <w:rPr>
                <w:rFonts w:hAnsi="宋体" w:cs="宋体"/>
                <w:bCs/>
                <w:color w:val="auto"/>
                <w:szCs w:val="24"/>
                <w:highlight w:val="none"/>
              </w:rPr>
            </w:pPr>
            <w:r>
              <w:rPr>
                <w:rFonts w:hint="eastAsia" w:hAnsi="宋体" w:cs="宋体"/>
                <w:bCs/>
                <w:color w:val="auto"/>
                <w:szCs w:val="24"/>
                <w:highlight w:val="none"/>
              </w:rPr>
              <w:t>2020年</w:t>
            </w:r>
            <w:r>
              <w:rPr>
                <w:rFonts w:hAnsi="宋体" w:cs="宋体"/>
                <w:bCs/>
                <w:color w:val="auto"/>
                <w:szCs w:val="24"/>
                <w:highlight w:val="none"/>
              </w:rPr>
              <w:t>8</w:t>
            </w:r>
            <w:r>
              <w:rPr>
                <w:rFonts w:hint="eastAsia" w:hAnsi="宋体" w:cs="宋体"/>
                <w:bCs/>
                <w:color w:val="auto"/>
                <w:szCs w:val="24"/>
                <w:highlight w:val="none"/>
              </w:rPr>
              <w:t>月</w:t>
            </w:r>
            <w:r>
              <w:rPr>
                <w:rFonts w:hAnsi="宋体" w:cs="宋体"/>
                <w:bCs/>
                <w:color w:val="auto"/>
                <w:szCs w:val="24"/>
                <w:highlight w:val="none"/>
              </w:rPr>
              <w:t>4</w:t>
            </w:r>
            <w:r>
              <w:rPr>
                <w:rFonts w:hint="eastAsia" w:hAnsi="宋体" w:cs="宋体"/>
                <w:bCs/>
                <w:color w:val="auto"/>
                <w:szCs w:val="24"/>
                <w:highlight w:val="none"/>
              </w:rPr>
              <w:t>日17时00分前接受书面答疑，请提交一份与书面疑问内容一致的电子版发至邮箱418347051@qq.com。逾期不予受理。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23</w:t>
            </w:r>
          </w:p>
        </w:tc>
        <w:tc>
          <w:tcPr>
            <w:tcW w:w="2047" w:type="dxa"/>
            <w:vAlign w:val="center"/>
          </w:tcPr>
          <w:p>
            <w:pPr>
              <w:jc w:val="center"/>
              <w:rPr>
                <w:rFonts w:hAnsi="宋体" w:cs="宋体"/>
                <w:bCs/>
                <w:color w:val="auto"/>
                <w:szCs w:val="24"/>
                <w:highlight w:val="none"/>
              </w:rPr>
            </w:pPr>
            <w:r>
              <w:rPr>
                <w:rFonts w:hint="eastAsia" w:hAnsi="宋体" w:cs="宋体"/>
                <w:bCs/>
                <w:color w:val="auto"/>
                <w:szCs w:val="24"/>
                <w:highlight w:val="none"/>
              </w:rPr>
              <w:t>勘察现场</w:t>
            </w:r>
          </w:p>
        </w:tc>
        <w:tc>
          <w:tcPr>
            <w:tcW w:w="6812" w:type="dxa"/>
            <w:vAlign w:val="center"/>
          </w:tcPr>
          <w:p>
            <w:pPr>
              <w:rPr>
                <w:rFonts w:hAnsi="宋体" w:cs="宋体"/>
                <w:bCs/>
                <w:color w:val="auto"/>
                <w:szCs w:val="24"/>
                <w:highlight w:val="none"/>
              </w:rPr>
            </w:pPr>
            <w:r>
              <w:rPr>
                <w:rFonts w:hint="eastAsia" w:hAnsi="宋体" w:cs="宋体"/>
                <w:bCs/>
                <w:color w:val="auto"/>
                <w:szCs w:val="24"/>
                <w:highlight w:val="none"/>
              </w:rPr>
              <w:t>供应商须自行踏勘现场，了解现场的具体情况。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24</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响应文件</w:t>
            </w:r>
          </w:p>
          <w:p>
            <w:pPr>
              <w:jc w:val="center"/>
              <w:rPr>
                <w:rFonts w:hAnsi="宋体" w:cs="宋体"/>
                <w:color w:val="auto"/>
                <w:szCs w:val="24"/>
                <w:highlight w:val="none"/>
              </w:rPr>
            </w:pPr>
            <w:r>
              <w:rPr>
                <w:rFonts w:hint="eastAsia" w:hAnsi="宋体" w:cs="宋体"/>
                <w:color w:val="auto"/>
                <w:szCs w:val="24"/>
                <w:highlight w:val="none"/>
              </w:rPr>
              <w:t>份数及要求</w:t>
            </w:r>
          </w:p>
        </w:tc>
        <w:tc>
          <w:tcPr>
            <w:tcW w:w="6812" w:type="dxa"/>
            <w:vAlign w:val="center"/>
          </w:tcPr>
          <w:p>
            <w:pPr>
              <w:rPr>
                <w:rFonts w:hAnsi="宋体" w:cs="宋体"/>
                <w:bCs/>
                <w:color w:val="auto"/>
                <w:szCs w:val="24"/>
                <w:highlight w:val="none"/>
              </w:rPr>
            </w:pPr>
            <w:r>
              <w:rPr>
                <w:rFonts w:hint="eastAsia" w:hAnsi="宋体" w:cs="宋体"/>
                <w:bCs/>
                <w:color w:val="auto"/>
                <w:szCs w:val="24"/>
                <w:highlight w:val="none"/>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7" w:type="dxa"/>
            <w:vAlign w:val="center"/>
          </w:tcPr>
          <w:p>
            <w:pPr>
              <w:jc w:val="center"/>
              <w:rPr>
                <w:color w:val="auto"/>
                <w:highlight w:val="none"/>
              </w:rPr>
            </w:pPr>
            <w:r>
              <w:rPr>
                <w:rFonts w:hint="eastAsia"/>
                <w:color w:val="auto"/>
                <w:highlight w:val="none"/>
              </w:rPr>
              <w:t>25</w:t>
            </w:r>
          </w:p>
        </w:tc>
        <w:tc>
          <w:tcPr>
            <w:tcW w:w="2047" w:type="dxa"/>
            <w:vAlign w:val="center"/>
          </w:tcPr>
          <w:p>
            <w:pPr>
              <w:jc w:val="center"/>
              <w:rPr>
                <w:color w:val="auto"/>
                <w:highlight w:val="none"/>
              </w:rPr>
            </w:pPr>
            <w:r>
              <w:rPr>
                <w:rFonts w:hint="eastAsia" w:hAnsi="宋体" w:cs="宋体"/>
                <w:bCs/>
                <w:color w:val="auto"/>
                <w:szCs w:val="24"/>
                <w:highlight w:val="none"/>
              </w:rPr>
              <w:t>询比</w:t>
            </w:r>
            <w:r>
              <w:rPr>
                <w:rFonts w:hint="eastAsia"/>
                <w:color w:val="auto"/>
                <w:highlight w:val="none"/>
              </w:rPr>
              <w:t>时间及地点</w:t>
            </w:r>
          </w:p>
        </w:tc>
        <w:tc>
          <w:tcPr>
            <w:tcW w:w="6812" w:type="dxa"/>
            <w:vAlign w:val="center"/>
          </w:tcPr>
          <w:p>
            <w:pPr>
              <w:rPr>
                <w:rFonts w:hAnsi="宋体" w:cs="宋体"/>
                <w:b/>
                <w:bCs/>
                <w:color w:val="auto"/>
                <w:szCs w:val="24"/>
                <w:highlight w:val="none"/>
              </w:rPr>
            </w:pPr>
            <w:r>
              <w:rPr>
                <w:rFonts w:hint="eastAsia" w:hAnsi="宋体" w:cs="宋体"/>
                <w:bCs/>
                <w:color w:val="auto"/>
                <w:szCs w:val="24"/>
                <w:highlight w:val="none"/>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26</w:t>
            </w:r>
          </w:p>
        </w:tc>
        <w:tc>
          <w:tcPr>
            <w:tcW w:w="2047" w:type="dxa"/>
            <w:vAlign w:val="center"/>
          </w:tcPr>
          <w:p>
            <w:pPr>
              <w:jc w:val="center"/>
              <w:rPr>
                <w:rFonts w:hAnsi="宋体" w:cs="宋体"/>
                <w:color w:val="auto"/>
                <w:szCs w:val="24"/>
                <w:highlight w:val="none"/>
              </w:rPr>
            </w:pPr>
            <w:r>
              <w:rPr>
                <w:rFonts w:hint="eastAsia" w:hAnsi="宋体" w:cs="宋体"/>
                <w:color w:val="auto"/>
                <w:szCs w:val="24"/>
                <w:highlight w:val="none"/>
              </w:rPr>
              <w:t>成交服务费</w:t>
            </w:r>
          </w:p>
        </w:tc>
        <w:tc>
          <w:tcPr>
            <w:tcW w:w="6812" w:type="dxa"/>
            <w:vAlign w:val="center"/>
          </w:tcPr>
          <w:p>
            <w:pPr>
              <w:jc w:val="left"/>
              <w:rPr>
                <w:rFonts w:hAnsi="宋体" w:cs="宋体"/>
                <w:bCs/>
                <w:color w:val="auto"/>
                <w:szCs w:val="24"/>
                <w:highlight w:val="none"/>
              </w:rPr>
            </w:pPr>
            <w:r>
              <w:rPr>
                <w:rFonts w:hint="eastAsia" w:hAnsi="宋体" w:cs="宋体"/>
                <w:bCs/>
                <w:color w:val="auto"/>
                <w:szCs w:val="24"/>
                <w:highlight w:val="none"/>
              </w:rPr>
              <w:t>成交供应商在成交通知书发出前，须向采购代理机构交纳成交服务费。成交服务费按成交价进行收取，收费标准参照原国家计委(2002)1980号文件规定标准。上述费用应包含在供应商报价中，无需单列，采购人不再单独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67" w:type="dxa"/>
            <w:vAlign w:val="center"/>
          </w:tcPr>
          <w:p>
            <w:pPr>
              <w:jc w:val="center"/>
              <w:rPr>
                <w:rFonts w:hAnsi="宋体" w:cs="宋体"/>
                <w:color w:val="auto"/>
                <w:szCs w:val="24"/>
                <w:highlight w:val="none"/>
              </w:rPr>
            </w:pPr>
            <w:r>
              <w:rPr>
                <w:rFonts w:hint="eastAsia" w:hAnsi="宋体" w:cs="宋体"/>
                <w:color w:val="auto"/>
                <w:szCs w:val="24"/>
                <w:highlight w:val="none"/>
              </w:rPr>
              <w:t>27</w:t>
            </w:r>
          </w:p>
        </w:tc>
        <w:tc>
          <w:tcPr>
            <w:tcW w:w="2047" w:type="dxa"/>
            <w:vAlign w:val="center"/>
          </w:tcPr>
          <w:p>
            <w:pPr>
              <w:jc w:val="center"/>
              <w:rPr>
                <w:rFonts w:hAnsi="宋体" w:cs="宋体"/>
                <w:color w:val="auto"/>
                <w:szCs w:val="24"/>
                <w:highlight w:val="none"/>
              </w:rPr>
            </w:pPr>
            <w:r>
              <w:rPr>
                <w:rFonts w:hint="eastAsia" w:hAnsi="宋体" w:cs="宋体"/>
                <w:bCs/>
                <w:color w:val="auto"/>
                <w:szCs w:val="24"/>
                <w:highlight w:val="none"/>
              </w:rPr>
              <w:t>备注一</w:t>
            </w:r>
          </w:p>
        </w:tc>
        <w:tc>
          <w:tcPr>
            <w:tcW w:w="6812" w:type="dxa"/>
            <w:vAlign w:val="center"/>
          </w:tcPr>
          <w:p>
            <w:pPr>
              <w:jc w:val="left"/>
              <w:rPr>
                <w:rFonts w:hAnsi="宋体" w:cs="宋体"/>
                <w:bCs/>
                <w:color w:val="auto"/>
                <w:szCs w:val="24"/>
                <w:highlight w:val="none"/>
              </w:rPr>
            </w:pPr>
            <w:r>
              <w:rPr>
                <w:rFonts w:hint="eastAsia" w:hAnsi="宋体" w:cs="宋体"/>
                <w:bCs/>
                <w:color w:val="auto"/>
                <w:szCs w:val="24"/>
                <w:highlight w:val="none"/>
              </w:rPr>
              <w:t>1、供应商存在以下不良信用记录情形之一的，不得推荐为成交候选供应商，不得确定为成交供应商：</w:t>
            </w:r>
          </w:p>
          <w:p>
            <w:pPr>
              <w:jc w:val="left"/>
              <w:rPr>
                <w:rFonts w:hAnsi="宋体" w:cs="宋体"/>
                <w:bCs/>
                <w:color w:val="auto"/>
                <w:szCs w:val="24"/>
                <w:highlight w:val="none"/>
              </w:rPr>
            </w:pPr>
            <w:r>
              <w:rPr>
                <w:rFonts w:hint="eastAsia" w:hAnsi="宋体" w:cs="宋体"/>
                <w:bCs/>
                <w:color w:val="auto"/>
                <w:szCs w:val="24"/>
                <w:highlight w:val="none"/>
              </w:rPr>
              <w:t>1）供应商被人民法院列入失信被执行人的；</w:t>
            </w:r>
          </w:p>
          <w:p>
            <w:pPr>
              <w:jc w:val="left"/>
              <w:rPr>
                <w:rFonts w:hAnsi="宋体" w:cs="宋体"/>
                <w:bCs/>
                <w:color w:val="auto"/>
                <w:szCs w:val="24"/>
                <w:highlight w:val="none"/>
              </w:rPr>
            </w:pPr>
            <w:r>
              <w:rPr>
                <w:rFonts w:hint="eastAsia" w:hAnsi="宋体" w:cs="宋体"/>
                <w:bCs/>
                <w:color w:val="auto"/>
                <w:szCs w:val="24"/>
                <w:highlight w:val="none"/>
              </w:rPr>
              <w:t>2）供应商或其法定代表人被人民检察院列入行贿犯罪档案的；</w:t>
            </w:r>
          </w:p>
          <w:p>
            <w:pPr>
              <w:jc w:val="left"/>
              <w:rPr>
                <w:rFonts w:hAnsi="宋体" w:cs="宋体"/>
                <w:bCs/>
                <w:color w:val="auto"/>
                <w:szCs w:val="24"/>
                <w:highlight w:val="none"/>
              </w:rPr>
            </w:pPr>
            <w:r>
              <w:rPr>
                <w:rFonts w:hint="eastAsia" w:hAnsi="宋体" w:cs="宋体"/>
                <w:bCs/>
                <w:color w:val="auto"/>
                <w:szCs w:val="24"/>
                <w:highlight w:val="none"/>
              </w:rPr>
              <w:t>3）供应商被市场监督管理部门（含工商行政管理部门）列入企业经营异常名录的；</w:t>
            </w:r>
          </w:p>
          <w:p>
            <w:pPr>
              <w:jc w:val="left"/>
              <w:rPr>
                <w:rFonts w:hAnsi="宋体" w:cs="宋体"/>
                <w:bCs/>
                <w:color w:val="auto"/>
                <w:szCs w:val="24"/>
                <w:highlight w:val="none"/>
              </w:rPr>
            </w:pPr>
            <w:r>
              <w:rPr>
                <w:rFonts w:hint="eastAsia" w:hAnsi="宋体" w:cs="宋体"/>
                <w:bCs/>
                <w:color w:val="auto"/>
                <w:szCs w:val="24"/>
                <w:highlight w:val="none"/>
              </w:rPr>
              <w:t>4）供应商被税务部门列入重大税收违法案件当事人名单的；</w:t>
            </w:r>
          </w:p>
          <w:p>
            <w:pPr>
              <w:jc w:val="left"/>
              <w:rPr>
                <w:rFonts w:hAnsi="宋体" w:cs="宋体"/>
                <w:bCs/>
                <w:color w:val="auto"/>
                <w:szCs w:val="24"/>
                <w:highlight w:val="none"/>
              </w:rPr>
            </w:pPr>
            <w:r>
              <w:rPr>
                <w:rFonts w:hint="eastAsia" w:hAnsi="宋体" w:cs="宋体"/>
                <w:bCs/>
                <w:color w:val="auto"/>
                <w:szCs w:val="24"/>
                <w:highlight w:val="none"/>
              </w:rPr>
              <w:t>5）供应商被政府采购监管部门列入政府采购严重违法失信行为记录名单的。</w:t>
            </w:r>
          </w:p>
          <w:p>
            <w:pPr>
              <w:jc w:val="left"/>
              <w:rPr>
                <w:rFonts w:hAnsi="宋体" w:cs="宋体"/>
                <w:bCs/>
                <w:color w:val="auto"/>
                <w:szCs w:val="24"/>
                <w:highlight w:val="none"/>
              </w:rPr>
            </w:pPr>
            <w:r>
              <w:rPr>
                <w:rFonts w:hint="eastAsia" w:hAnsi="宋体" w:cs="宋体"/>
                <w:bCs/>
                <w:color w:val="auto"/>
                <w:szCs w:val="24"/>
                <w:highlight w:val="none"/>
              </w:rPr>
              <w:t>2、不良信用记录查询渠道如下：</w:t>
            </w:r>
          </w:p>
          <w:p>
            <w:pPr>
              <w:jc w:val="left"/>
              <w:rPr>
                <w:rFonts w:hAnsi="宋体" w:cs="宋体"/>
                <w:bCs/>
                <w:color w:val="auto"/>
                <w:szCs w:val="24"/>
                <w:highlight w:val="none"/>
              </w:rPr>
            </w:pPr>
            <w:r>
              <w:rPr>
                <w:rFonts w:hint="eastAsia" w:hAnsi="宋体" w:cs="宋体"/>
                <w:bCs/>
                <w:color w:val="auto"/>
                <w:szCs w:val="24"/>
                <w:highlight w:val="none"/>
              </w:rPr>
              <w:t>（1）失信被执行人：信用中国官网（www.creditchina.gov.cn）</w:t>
            </w:r>
          </w:p>
          <w:p>
            <w:pPr>
              <w:jc w:val="left"/>
              <w:rPr>
                <w:rFonts w:hAnsi="宋体" w:cs="宋体"/>
                <w:bCs/>
                <w:color w:val="auto"/>
                <w:szCs w:val="24"/>
                <w:highlight w:val="none"/>
              </w:rPr>
            </w:pPr>
            <w:r>
              <w:rPr>
                <w:rFonts w:hint="eastAsia" w:hAnsi="宋体" w:cs="宋体"/>
                <w:bCs/>
                <w:color w:val="auto"/>
                <w:szCs w:val="24"/>
                <w:highlight w:val="none"/>
              </w:rPr>
              <w:t>（2）行贿犯罪档案：中国裁判文书网（http://wenshu.court.gov.cn）；</w:t>
            </w:r>
          </w:p>
          <w:p>
            <w:pPr>
              <w:jc w:val="left"/>
              <w:rPr>
                <w:rFonts w:hAnsi="宋体" w:cs="宋体"/>
                <w:bCs/>
                <w:color w:val="auto"/>
                <w:szCs w:val="24"/>
                <w:highlight w:val="none"/>
              </w:rPr>
            </w:pPr>
            <w:r>
              <w:rPr>
                <w:rFonts w:hint="eastAsia" w:hAnsi="宋体" w:cs="宋体"/>
                <w:bCs/>
                <w:color w:val="auto"/>
                <w:szCs w:val="24"/>
                <w:highlight w:val="none"/>
              </w:rPr>
              <w:t>（3）企业经营异常名录：信用中国官网（www.creditchina.gov.cn）</w:t>
            </w:r>
          </w:p>
          <w:p>
            <w:pPr>
              <w:jc w:val="left"/>
              <w:rPr>
                <w:rFonts w:hAnsi="宋体" w:cs="宋体"/>
                <w:bCs/>
                <w:color w:val="auto"/>
                <w:szCs w:val="24"/>
                <w:highlight w:val="none"/>
              </w:rPr>
            </w:pPr>
            <w:r>
              <w:rPr>
                <w:rFonts w:hint="eastAsia" w:hAnsi="宋体" w:cs="宋体"/>
                <w:bCs/>
                <w:color w:val="auto"/>
                <w:szCs w:val="24"/>
                <w:highlight w:val="none"/>
              </w:rPr>
              <w:t>（4）重大税收违法案件当事人名单：信用中国官网（www.creditchina.gov.cn）</w:t>
            </w:r>
          </w:p>
          <w:p>
            <w:pPr>
              <w:jc w:val="left"/>
              <w:rPr>
                <w:rFonts w:hAnsi="宋体" w:cs="宋体"/>
                <w:bCs/>
                <w:color w:val="auto"/>
                <w:szCs w:val="24"/>
                <w:highlight w:val="none"/>
              </w:rPr>
            </w:pPr>
            <w:r>
              <w:rPr>
                <w:rFonts w:hint="eastAsia" w:hAnsi="宋体" w:cs="宋体"/>
                <w:bCs/>
                <w:color w:val="auto"/>
                <w:szCs w:val="24"/>
                <w:highlight w:val="none"/>
              </w:rPr>
              <w:t>（5）政府采购严重违法失信行为记录名单：中国政府采购官网（www.ccgp.gov.cn）</w:t>
            </w:r>
          </w:p>
          <w:p>
            <w:pPr>
              <w:jc w:val="left"/>
              <w:rPr>
                <w:rFonts w:hAnsi="宋体" w:cs="宋体"/>
                <w:b/>
                <w:color w:val="auto"/>
                <w:szCs w:val="24"/>
                <w:highlight w:val="none"/>
              </w:rPr>
            </w:pPr>
            <w:r>
              <w:rPr>
                <w:rFonts w:hint="eastAsia" w:hAnsi="宋体" w:cs="宋体"/>
                <w:bCs/>
                <w:color w:val="auto"/>
                <w:szCs w:val="24"/>
                <w:highlight w:val="none"/>
              </w:rPr>
              <w:t>3、询比时，供应商应当在查询上述记录后如实提供无不良信用记录承诺并加盖公章。</w:t>
            </w:r>
          </w:p>
        </w:tc>
      </w:tr>
    </w:tbl>
    <w:p>
      <w:pPr>
        <w:pStyle w:val="3"/>
        <w:spacing w:before="260" w:after="260" w:line="500" w:lineRule="exact"/>
        <w:rPr>
          <w:rFonts w:hAnsi="宋体"/>
          <w:color w:val="auto"/>
          <w:highlight w:val="none"/>
        </w:rPr>
        <w:sectPr>
          <w:footerReference r:id="rId12" w:type="first"/>
          <w:footerReference r:id="rId11" w:type="default"/>
          <w:pgSz w:w="11906" w:h="16838"/>
          <w:pgMar w:top="1440" w:right="1080" w:bottom="1440" w:left="1080" w:header="851" w:footer="992" w:gutter="0"/>
          <w:cols w:space="720" w:num="1"/>
          <w:titlePg/>
          <w:docGrid w:type="lines" w:linePitch="312" w:charSpace="0"/>
        </w:sectPr>
      </w:pPr>
      <w:bookmarkStart w:id="17" w:name="_Toc200336330"/>
      <w:bookmarkStart w:id="18" w:name="_Toc208106829"/>
    </w:p>
    <w:p>
      <w:pPr>
        <w:pStyle w:val="3"/>
        <w:spacing w:before="260" w:after="260" w:line="500" w:lineRule="exact"/>
        <w:jc w:val="center"/>
        <w:rPr>
          <w:rFonts w:hAnsi="宋体"/>
          <w:color w:val="auto"/>
          <w:highlight w:val="none"/>
        </w:rPr>
      </w:pPr>
      <w:bookmarkStart w:id="19" w:name="_Toc14650"/>
      <w:bookmarkStart w:id="20" w:name="_Toc492637209"/>
      <w:bookmarkStart w:id="21" w:name="_Toc25458"/>
      <w:bookmarkStart w:id="22" w:name="_Toc7921"/>
      <w:bookmarkStart w:id="23" w:name="_Toc15313"/>
      <w:bookmarkStart w:id="24" w:name="_Toc10530"/>
      <w:r>
        <w:rPr>
          <w:rFonts w:hint="eastAsia" w:hAnsi="宋体"/>
          <w:color w:val="auto"/>
          <w:highlight w:val="none"/>
        </w:rPr>
        <w:t>三</w:t>
      </w:r>
      <w:bookmarkEnd w:id="17"/>
      <w:bookmarkEnd w:id="18"/>
      <w:r>
        <w:rPr>
          <w:rFonts w:hint="eastAsia" w:hAnsi="宋体"/>
          <w:color w:val="auto"/>
          <w:highlight w:val="none"/>
        </w:rPr>
        <w:t>、项目需求</w:t>
      </w:r>
      <w:bookmarkEnd w:id="19"/>
      <w:bookmarkEnd w:id="20"/>
      <w:bookmarkEnd w:id="21"/>
      <w:bookmarkEnd w:id="22"/>
      <w:bookmarkEnd w:id="23"/>
      <w:bookmarkEnd w:id="24"/>
    </w:p>
    <w:p>
      <w:pPr>
        <w:spacing w:line="360" w:lineRule="auto"/>
        <w:rPr>
          <w:rFonts w:hAnsi="宋体"/>
          <w:color w:val="auto"/>
          <w:highlight w:val="none"/>
        </w:rPr>
      </w:pPr>
      <w:bookmarkStart w:id="25" w:name="_Hlt240110027"/>
      <w:bookmarkEnd w:id="25"/>
      <w:bookmarkStart w:id="26" w:name="_Toc492637210"/>
      <w:bookmarkStart w:id="27" w:name="_Toc21471"/>
      <w:bookmarkStart w:id="28" w:name="_Toc16453"/>
      <w:bookmarkStart w:id="29" w:name="_Toc14221"/>
      <w:bookmarkStart w:id="30" w:name="_Toc11547"/>
    </w:p>
    <w:p>
      <w:pPr>
        <w:spacing w:line="360" w:lineRule="auto"/>
        <w:ind w:firstLine="480" w:firstLineChars="200"/>
        <w:rPr>
          <w:rFonts w:hAnsi="宋体"/>
          <w:color w:val="auto"/>
          <w:highlight w:val="none"/>
        </w:rPr>
      </w:pPr>
      <w:r>
        <w:rPr>
          <w:rFonts w:hint="eastAsia" w:hAnsi="宋体"/>
          <w:color w:val="auto"/>
          <w:highlight w:val="none"/>
        </w:rPr>
        <w:t>本项目涉及室内使用面积约380平方米，总预算约50万元（含税），包含以下内容：</w:t>
      </w:r>
    </w:p>
    <w:p>
      <w:pPr>
        <w:spacing w:line="360" w:lineRule="auto"/>
        <w:ind w:firstLine="482" w:firstLineChars="200"/>
        <w:outlineLvl w:val="0"/>
        <w:rPr>
          <w:rFonts w:hAnsi="宋体"/>
          <w:b/>
          <w:bCs/>
          <w:color w:val="auto"/>
          <w:highlight w:val="none"/>
        </w:rPr>
      </w:pPr>
      <w:bookmarkStart w:id="31" w:name="_Toc30913"/>
      <w:bookmarkStart w:id="32" w:name="_Toc7592"/>
      <w:r>
        <w:rPr>
          <w:rFonts w:hint="eastAsia" w:hAnsi="宋体"/>
          <w:b/>
          <w:bCs/>
          <w:color w:val="auto"/>
          <w:highlight w:val="none"/>
        </w:rPr>
        <w:t>1、装饰相关部分：</w:t>
      </w:r>
      <w:r>
        <w:rPr>
          <w:rFonts w:hint="eastAsia" w:hAnsi="宋体"/>
          <w:bCs/>
          <w:color w:val="auto"/>
          <w:highlight w:val="none"/>
        </w:rPr>
        <w:t>主要包含原混凝土预制楼梯拆除及部分墙体拆除后开门、原地面处理、主设备或专业照明线路电缆铺设以及活动室装饰必备需求等。</w:t>
      </w:r>
      <w:bookmarkEnd w:id="31"/>
      <w:bookmarkEnd w:id="32"/>
    </w:p>
    <w:p>
      <w:pPr>
        <w:spacing w:line="360" w:lineRule="auto"/>
        <w:ind w:firstLine="480" w:firstLineChars="200"/>
        <w:outlineLvl w:val="0"/>
        <w:rPr>
          <w:rFonts w:hAnsi="宋体"/>
          <w:bCs/>
          <w:color w:val="auto"/>
          <w:highlight w:val="none"/>
        </w:rPr>
      </w:pPr>
      <w:bookmarkStart w:id="33" w:name="_Toc27313"/>
      <w:bookmarkStart w:id="34" w:name="_Toc7871"/>
      <w:r>
        <w:rPr>
          <w:rFonts w:hint="eastAsia" w:hAnsi="宋体"/>
          <w:bCs/>
          <w:color w:val="auto"/>
          <w:highlight w:val="none"/>
        </w:rPr>
        <w:t>（1）原楼梯和门的拆除更换</w:t>
      </w:r>
      <w:bookmarkEnd w:id="33"/>
      <w:bookmarkEnd w:id="34"/>
    </w:p>
    <w:p>
      <w:pPr>
        <w:spacing w:line="360" w:lineRule="auto"/>
        <w:ind w:firstLine="480" w:firstLineChars="200"/>
        <w:rPr>
          <w:rFonts w:hAnsi="宋体"/>
          <w:color w:val="auto"/>
          <w:highlight w:val="none"/>
        </w:rPr>
      </w:pPr>
      <w:r>
        <w:rPr>
          <w:rFonts w:hint="eastAsia" w:hAnsi="宋体"/>
          <w:color w:val="auto"/>
          <w:highlight w:val="none"/>
        </w:rPr>
        <w:t>由于原混凝土楼梯占用了活动室很大的空间，拆除后需重新设计，沿墙边制作钢制楼梯，增大空间利用率。原有双开门和单开门进行拆除更换玻璃门或防火门，并新开一个双开门，方便进出活动室。</w:t>
      </w:r>
    </w:p>
    <w:p>
      <w:pPr>
        <w:spacing w:line="360" w:lineRule="auto"/>
        <w:ind w:firstLine="480" w:firstLineChars="200"/>
        <w:outlineLvl w:val="0"/>
        <w:rPr>
          <w:rFonts w:hAnsi="宋体"/>
          <w:bCs/>
          <w:color w:val="auto"/>
          <w:highlight w:val="none"/>
        </w:rPr>
      </w:pPr>
      <w:bookmarkStart w:id="35" w:name="_Toc506"/>
      <w:bookmarkStart w:id="36" w:name="_Toc5418"/>
      <w:r>
        <w:rPr>
          <w:rFonts w:hint="eastAsia" w:hAnsi="宋体"/>
          <w:bCs/>
          <w:color w:val="auto"/>
          <w:highlight w:val="none"/>
        </w:rPr>
        <w:t>（2）原地面处理</w:t>
      </w:r>
      <w:bookmarkEnd w:id="35"/>
      <w:bookmarkEnd w:id="36"/>
    </w:p>
    <w:p>
      <w:pPr>
        <w:spacing w:line="360" w:lineRule="auto"/>
        <w:ind w:firstLine="480" w:firstLineChars="200"/>
        <w:rPr>
          <w:rFonts w:hAnsi="宋体"/>
          <w:color w:val="auto"/>
          <w:highlight w:val="none"/>
        </w:rPr>
      </w:pPr>
      <w:r>
        <w:rPr>
          <w:rFonts w:hint="eastAsia" w:hAnsi="宋体"/>
          <w:color w:val="auto"/>
          <w:highlight w:val="none"/>
        </w:rPr>
        <w:t>由于原环氧地坪漆地面空鼓破损，地面粉刷层基础返沙严重造成地面很不平整。因此，将原地面铲除，并打磨清理。针对基础返沙的现状，进行返沙处理后，再进行砂浆找平和地固处理。最后施做水泥自流平，为运动地胶施工做准备。</w:t>
      </w:r>
    </w:p>
    <w:p>
      <w:pPr>
        <w:spacing w:line="360" w:lineRule="auto"/>
        <w:ind w:firstLine="480" w:firstLineChars="200"/>
        <w:outlineLvl w:val="0"/>
        <w:rPr>
          <w:rFonts w:hAnsi="宋体"/>
          <w:bCs/>
          <w:color w:val="auto"/>
          <w:highlight w:val="none"/>
        </w:rPr>
      </w:pPr>
      <w:bookmarkStart w:id="37" w:name="_Toc29467"/>
      <w:bookmarkStart w:id="38" w:name="_Toc11624"/>
      <w:r>
        <w:rPr>
          <w:rFonts w:hint="eastAsia" w:hAnsi="宋体"/>
          <w:bCs/>
          <w:color w:val="auto"/>
          <w:highlight w:val="none"/>
        </w:rPr>
        <w:t>（3）线路改造</w:t>
      </w:r>
      <w:bookmarkEnd w:id="37"/>
      <w:bookmarkEnd w:id="38"/>
    </w:p>
    <w:p>
      <w:pPr>
        <w:spacing w:line="360" w:lineRule="auto"/>
        <w:ind w:firstLine="480" w:firstLineChars="200"/>
        <w:rPr>
          <w:rFonts w:hAnsi="宋体"/>
          <w:color w:val="auto"/>
          <w:highlight w:val="none"/>
        </w:rPr>
      </w:pPr>
      <w:r>
        <w:rPr>
          <w:rFonts w:hint="eastAsia" w:hAnsi="宋体"/>
          <w:color w:val="auto"/>
          <w:highlight w:val="none"/>
        </w:rPr>
        <w:t>新增空调及照明系统，强电相应需要改造处理。涉及主电缆+配电箱的布设、以及室内电路改造。</w:t>
      </w:r>
    </w:p>
    <w:p>
      <w:pPr>
        <w:spacing w:line="360" w:lineRule="auto"/>
        <w:ind w:firstLine="480" w:firstLineChars="200"/>
        <w:outlineLvl w:val="0"/>
        <w:rPr>
          <w:rFonts w:hAnsi="宋体"/>
          <w:bCs/>
          <w:color w:val="auto"/>
          <w:highlight w:val="none"/>
        </w:rPr>
      </w:pPr>
      <w:bookmarkStart w:id="39" w:name="_Toc9270"/>
      <w:bookmarkStart w:id="40" w:name="_Toc5149"/>
      <w:r>
        <w:rPr>
          <w:rFonts w:hint="eastAsia" w:hAnsi="宋体"/>
          <w:bCs/>
          <w:color w:val="auto"/>
          <w:highlight w:val="none"/>
        </w:rPr>
        <w:t>（4）其他项</w:t>
      </w:r>
      <w:bookmarkEnd w:id="39"/>
      <w:bookmarkEnd w:id="40"/>
    </w:p>
    <w:p>
      <w:pPr>
        <w:spacing w:line="360" w:lineRule="auto"/>
        <w:ind w:firstLine="480" w:firstLineChars="200"/>
        <w:rPr>
          <w:rFonts w:hAnsi="宋体"/>
          <w:b/>
          <w:bCs/>
          <w:color w:val="auto"/>
          <w:highlight w:val="none"/>
        </w:rPr>
      </w:pPr>
      <w:r>
        <w:rPr>
          <w:rFonts w:hint="eastAsia" w:hAnsi="宋体"/>
          <w:color w:val="auto"/>
          <w:highlight w:val="none"/>
        </w:rPr>
        <w:t>考虑运动时安全因素，墙角等进行软包处理；设置可休息的储物低柜、凳子等便利设施；并包含了墙面处理、脚手架、现场垃圾清运等工作。</w:t>
      </w:r>
    </w:p>
    <w:p>
      <w:pPr>
        <w:spacing w:line="360" w:lineRule="auto"/>
        <w:ind w:firstLine="482" w:firstLineChars="200"/>
        <w:rPr>
          <w:rFonts w:hAnsi="宋体"/>
          <w:b/>
          <w:bCs/>
          <w:color w:val="auto"/>
          <w:highlight w:val="none"/>
        </w:rPr>
      </w:pPr>
      <w:r>
        <w:rPr>
          <w:rFonts w:hint="eastAsia" w:hAnsi="宋体"/>
          <w:b/>
          <w:bCs/>
          <w:color w:val="auto"/>
          <w:highlight w:val="none"/>
        </w:rPr>
        <w:t>2、空调及新风系统：</w:t>
      </w:r>
      <w:r>
        <w:rPr>
          <w:rFonts w:hAnsi="宋体"/>
          <w:b/>
          <w:bCs/>
          <w:color w:val="auto"/>
          <w:highlight w:val="none"/>
        </w:rPr>
        <w:t xml:space="preserve"> </w:t>
      </w:r>
    </w:p>
    <w:p>
      <w:pPr>
        <w:spacing w:line="360" w:lineRule="auto"/>
        <w:ind w:firstLine="482" w:firstLineChars="200"/>
        <w:rPr>
          <w:rFonts w:hAnsi="宋体"/>
          <w:b/>
          <w:bCs/>
          <w:color w:val="auto"/>
          <w:highlight w:val="none"/>
        </w:rPr>
      </w:pPr>
      <w:r>
        <w:rPr>
          <w:rFonts w:hint="eastAsia" w:hAnsi="宋体"/>
          <w:b/>
          <w:bCs/>
          <w:color w:val="auto"/>
          <w:highlight w:val="none"/>
        </w:rPr>
        <w:t>空调品牌要求：美的、格力、海尔或经采购人认可的不低于此档次的其他品牌</w:t>
      </w:r>
    </w:p>
    <w:p>
      <w:pPr>
        <w:spacing w:line="360" w:lineRule="auto"/>
        <w:ind w:firstLine="480" w:firstLineChars="200"/>
        <w:rPr>
          <w:rFonts w:hAnsi="宋体"/>
          <w:color w:val="auto"/>
          <w:highlight w:val="none"/>
        </w:rPr>
      </w:pPr>
      <w:r>
        <w:rPr>
          <w:rFonts w:hint="eastAsia" w:hAnsi="宋体"/>
          <w:color w:val="auto"/>
          <w:highlight w:val="none"/>
        </w:rPr>
        <w:t>根据现场需求配置空调系统：为确保空调制冷或制热效果，同时要考虑室内机出风口风向对乒乓球运动时的影响，活动中心配置2套（简称：1拖4）空调系统：室外多联机2台400W（14匹）加</w:t>
      </w:r>
      <w:r>
        <w:rPr>
          <w:rFonts w:hAnsi="宋体"/>
          <w:color w:val="auto"/>
          <w:highlight w:val="none"/>
        </w:rPr>
        <w:t xml:space="preserve"> </w:t>
      </w:r>
      <w:r>
        <w:rPr>
          <w:rFonts w:hint="eastAsia" w:hAnsi="宋体"/>
          <w:color w:val="auto"/>
          <w:highlight w:val="none"/>
        </w:rPr>
        <w:t>8台100型的室内机，两套空调系统能单独控制使用，达到空调备用性需求和节能需求。</w:t>
      </w:r>
    </w:p>
    <w:p>
      <w:pPr>
        <w:spacing w:line="360" w:lineRule="auto"/>
        <w:ind w:firstLine="480" w:firstLineChars="200"/>
        <w:rPr>
          <w:rFonts w:hAnsi="宋体"/>
          <w:b/>
          <w:bCs/>
          <w:color w:val="auto"/>
          <w:highlight w:val="none"/>
        </w:rPr>
      </w:pPr>
      <w:r>
        <w:rPr>
          <w:rFonts w:hint="eastAsia" w:hAnsi="宋体"/>
          <w:color w:val="auto"/>
          <w:highlight w:val="none"/>
        </w:rPr>
        <w:t>同时，考虑地下室通风不畅，因此需配置</w:t>
      </w:r>
      <w:r>
        <w:rPr>
          <w:rFonts w:hint="eastAsia" w:hAnsi="宋体"/>
          <w:bCs/>
          <w:color w:val="auto"/>
          <w:highlight w:val="none"/>
        </w:rPr>
        <w:t>新风</w:t>
      </w:r>
      <w:r>
        <w:rPr>
          <w:rFonts w:hint="eastAsia" w:hAnsi="宋体"/>
          <w:color w:val="auto"/>
          <w:highlight w:val="none"/>
        </w:rPr>
        <w:t>系统（送排风机箱+管道系统）</w:t>
      </w:r>
      <w:r>
        <w:rPr>
          <w:rFonts w:hint="eastAsia" w:hAnsi="宋体"/>
          <w:b/>
          <w:bCs/>
          <w:color w:val="auto"/>
          <w:highlight w:val="none"/>
        </w:rPr>
        <w:t>。</w:t>
      </w:r>
    </w:p>
    <w:p>
      <w:pPr>
        <w:spacing w:line="360" w:lineRule="auto"/>
        <w:ind w:firstLine="482" w:firstLineChars="200"/>
        <w:rPr>
          <w:rFonts w:hAnsi="宋体"/>
          <w:color w:val="auto"/>
          <w:highlight w:val="none"/>
        </w:rPr>
      </w:pPr>
      <w:r>
        <w:rPr>
          <w:rFonts w:hint="eastAsia" w:hAnsi="宋体"/>
          <w:b/>
          <w:bCs/>
          <w:color w:val="auto"/>
          <w:highlight w:val="none"/>
        </w:rPr>
        <w:t>3、乒乓球专项器材：</w:t>
      </w:r>
      <w:r>
        <w:rPr>
          <w:rFonts w:hint="eastAsia" w:hAnsi="宋体"/>
          <w:bCs/>
          <w:color w:val="auto"/>
          <w:highlight w:val="none"/>
        </w:rPr>
        <w:t>主要包含PVC运动地胶及体育专业照明灯具，</w:t>
      </w:r>
      <w:r>
        <w:rPr>
          <w:rFonts w:hint="eastAsia" w:hAnsi="宋体"/>
          <w:color w:val="auto"/>
          <w:highlight w:val="none"/>
        </w:rPr>
        <w:t>同时考虑了运动装饰画的点缀，营造运动氛围，以及采用乒乓器挡板对各运动区进行分割，保证运动区与人行区隔断。</w:t>
      </w:r>
    </w:p>
    <w:p>
      <w:pPr>
        <w:spacing w:line="360" w:lineRule="auto"/>
        <w:ind w:firstLine="482" w:firstLineChars="200"/>
        <w:rPr>
          <w:rFonts w:hAnsi="宋体"/>
          <w:b/>
          <w:bCs/>
          <w:color w:val="auto"/>
          <w:highlight w:val="none"/>
        </w:rPr>
      </w:pPr>
      <w:r>
        <w:rPr>
          <w:rFonts w:hint="eastAsia" w:hAnsi="宋体"/>
          <w:b/>
          <w:bCs/>
          <w:color w:val="auto"/>
          <w:highlight w:val="none"/>
        </w:rPr>
        <w:t>（1）地胶</w:t>
      </w:r>
    </w:p>
    <w:p>
      <w:pPr>
        <w:spacing w:line="360" w:lineRule="auto"/>
        <w:ind w:firstLine="480" w:firstLineChars="200"/>
        <w:rPr>
          <w:rFonts w:hAnsi="宋体"/>
          <w:color w:val="auto"/>
          <w:highlight w:val="none"/>
        </w:rPr>
      </w:pPr>
      <w:r>
        <w:rPr>
          <w:rFonts w:hint="eastAsia" w:hAnsi="宋体"/>
          <w:color w:val="auto"/>
          <w:highlight w:val="none"/>
        </w:rPr>
        <w:t>由于地胶是室内使用的塑胶产品，地胶的环保和质量性能是关键。</w:t>
      </w:r>
    </w:p>
    <w:p>
      <w:pPr>
        <w:spacing w:line="360" w:lineRule="auto"/>
        <w:ind w:firstLine="482" w:firstLineChars="200"/>
        <w:rPr>
          <w:rFonts w:hAnsi="宋体"/>
          <w:b/>
          <w:color w:val="auto"/>
          <w:highlight w:val="none"/>
        </w:rPr>
      </w:pPr>
      <w:r>
        <w:rPr>
          <w:rFonts w:hint="eastAsia" w:hAnsi="宋体"/>
          <w:b/>
          <w:color w:val="auto"/>
          <w:highlight w:val="none"/>
        </w:rPr>
        <w:t>为保证人身健康，投标时需提供：所投地胶品牌厂家针对本项目出具的质量保证函原件（或售后服务承诺函原件），需备注项目名称。</w:t>
      </w:r>
    </w:p>
    <w:p>
      <w:pPr>
        <w:spacing w:line="360" w:lineRule="auto"/>
        <w:ind w:firstLine="482" w:firstLineChars="200"/>
        <w:outlineLvl w:val="0"/>
        <w:rPr>
          <w:rFonts w:hAnsi="宋体"/>
          <w:b/>
          <w:bCs/>
          <w:color w:val="auto"/>
          <w:highlight w:val="none"/>
        </w:rPr>
      </w:pPr>
      <w:bookmarkStart w:id="41" w:name="_Toc11229"/>
      <w:bookmarkStart w:id="42" w:name="_Toc18206"/>
      <w:r>
        <w:rPr>
          <w:rFonts w:hint="eastAsia" w:hAnsi="宋体"/>
          <w:b/>
          <w:bCs/>
          <w:color w:val="auto"/>
          <w:highlight w:val="none"/>
        </w:rPr>
        <w:t>（2）体育专业照明</w:t>
      </w:r>
      <w:bookmarkEnd w:id="41"/>
      <w:bookmarkEnd w:id="42"/>
    </w:p>
    <w:p>
      <w:pPr>
        <w:spacing w:line="360" w:lineRule="auto"/>
        <w:ind w:firstLine="480" w:firstLineChars="200"/>
        <w:rPr>
          <w:rFonts w:hAnsi="宋体"/>
          <w:color w:val="auto"/>
          <w:highlight w:val="none"/>
        </w:rPr>
      </w:pPr>
      <w:r>
        <w:rPr>
          <w:rFonts w:hint="eastAsia" w:hAnsi="宋体"/>
          <w:color w:val="auto"/>
          <w:highlight w:val="none"/>
        </w:rPr>
        <w:t>需经过照明的专业计算，配合辅助光源，场地平均照度达到400lux以上，均匀度0.60以上，眩光指数小于30，可达到业余训练的要求。</w:t>
      </w:r>
    </w:p>
    <w:p>
      <w:pPr>
        <w:spacing w:line="360" w:lineRule="auto"/>
        <w:ind w:firstLine="480" w:firstLineChars="200"/>
        <w:rPr>
          <w:rFonts w:hAnsi="宋体"/>
          <w:color w:val="auto"/>
          <w:highlight w:val="none"/>
        </w:rPr>
      </w:pPr>
      <w:r>
        <w:rPr>
          <w:rFonts w:hint="eastAsia" w:hAnsi="宋体"/>
          <w:color w:val="auto"/>
          <w:highlight w:val="none"/>
        </w:rPr>
        <w:t>由于专业照明涉及运动场的整体运动舒适性和场馆效果，加之照明灯具为易损坏设备。</w:t>
      </w:r>
    </w:p>
    <w:p>
      <w:pPr>
        <w:spacing w:line="360" w:lineRule="auto"/>
        <w:ind w:firstLine="482" w:firstLineChars="200"/>
        <w:rPr>
          <w:color w:val="auto"/>
          <w:highlight w:val="none"/>
        </w:rPr>
      </w:pPr>
      <w:r>
        <w:rPr>
          <w:rFonts w:hint="eastAsia" w:hAnsi="宋体"/>
          <w:b/>
          <w:color w:val="auto"/>
          <w:highlight w:val="none"/>
        </w:rPr>
        <w:t>投标时需提供：所投体育专业灯具品牌厂家针对本项目出具的质量保证函原件（或售后服务承诺函原件），需备注项目名称。</w:t>
      </w:r>
    </w:p>
    <w:p>
      <w:pPr>
        <w:adjustRightInd w:val="0"/>
        <w:snapToGrid w:val="0"/>
        <w:spacing w:line="360" w:lineRule="auto"/>
        <w:ind w:right="-10" w:firstLine="562" w:firstLineChars="200"/>
        <w:jc w:val="center"/>
        <w:outlineLvl w:val="0"/>
        <w:rPr>
          <w:rFonts w:hAnsi="宋体"/>
          <w:color w:val="auto"/>
          <w:highlight w:val="none"/>
        </w:rPr>
      </w:pPr>
      <w:r>
        <w:rPr>
          <w:rFonts w:hint="eastAsia" w:hAnsi="宋体"/>
          <w:b/>
          <w:bCs/>
          <w:color w:val="auto"/>
          <w:sz w:val="28"/>
          <w:szCs w:val="21"/>
          <w:highlight w:val="none"/>
        </w:rPr>
        <w:br w:type="page"/>
      </w:r>
      <w:bookmarkStart w:id="43" w:name="_Toc12461"/>
      <w:r>
        <w:rPr>
          <w:rFonts w:hint="eastAsia" w:hAnsi="宋体"/>
          <w:b/>
          <w:bCs/>
          <w:color w:val="auto"/>
          <w:sz w:val="28"/>
          <w:szCs w:val="21"/>
          <w:highlight w:val="none"/>
        </w:rPr>
        <w:t>四、供应商须知</w:t>
      </w:r>
      <w:bookmarkEnd w:id="26"/>
      <w:bookmarkEnd w:id="27"/>
      <w:bookmarkEnd w:id="28"/>
      <w:bookmarkEnd w:id="29"/>
      <w:bookmarkEnd w:id="30"/>
      <w:bookmarkEnd w:id="43"/>
    </w:p>
    <w:p>
      <w:pPr>
        <w:pStyle w:val="4"/>
        <w:spacing w:before="0" w:after="0" w:line="360" w:lineRule="auto"/>
        <w:ind w:firstLine="482" w:firstLineChars="200"/>
        <w:rPr>
          <w:rFonts w:ascii="宋体" w:hAnsi="宋体" w:eastAsia="宋体"/>
          <w:color w:val="auto"/>
          <w:sz w:val="24"/>
          <w:szCs w:val="24"/>
          <w:highlight w:val="none"/>
        </w:rPr>
      </w:pPr>
      <w:bookmarkStart w:id="44" w:name="_Hlt509650686"/>
      <w:bookmarkEnd w:id="44"/>
      <w:bookmarkStart w:id="45" w:name="_Hlt509650955"/>
      <w:bookmarkEnd w:id="45"/>
      <w:bookmarkStart w:id="46" w:name="_Hlt509649998"/>
      <w:bookmarkEnd w:id="46"/>
      <w:bookmarkStart w:id="47" w:name="_Hlt509650126"/>
      <w:bookmarkEnd w:id="47"/>
      <w:bookmarkStart w:id="48" w:name="_Hlt526418143"/>
      <w:bookmarkEnd w:id="48"/>
      <w:bookmarkStart w:id="49" w:name="_Hlt509649722"/>
      <w:bookmarkEnd w:id="49"/>
      <w:bookmarkStart w:id="50" w:name="_Toc24966"/>
      <w:bookmarkStart w:id="51" w:name="_Toc7719"/>
      <w:bookmarkStart w:id="52" w:name="_Toc492637211"/>
      <w:bookmarkStart w:id="53" w:name="_Toc23268"/>
      <w:bookmarkStart w:id="54" w:name="_Toc15695"/>
      <w:bookmarkStart w:id="55" w:name="_Toc24157"/>
      <w:r>
        <w:rPr>
          <w:rFonts w:hint="eastAsia" w:ascii="宋体" w:hAnsi="宋体" w:eastAsia="宋体"/>
          <w:color w:val="auto"/>
          <w:sz w:val="24"/>
          <w:szCs w:val="24"/>
          <w:highlight w:val="none"/>
        </w:rPr>
        <w:t>（一）总    则</w:t>
      </w:r>
      <w:bookmarkEnd w:id="50"/>
      <w:bookmarkEnd w:id="51"/>
      <w:bookmarkEnd w:id="52"/>
      <w:bookmarkEnd w:id="53"/>
      <w:bookmarkEnd w:id="54"/>
      <w:bookmarkEnd w:id="55"/>
    </w:p>
    <w:p>
      <w:pPr>
        <w:spacing w:line="360" w:lineRule="auto"/>
        <w:ind w:firstLine="482" w:firstLineChars="200"/>
        <w:rPr>
          <w:rFonts w:hAnsi="宋体"/>
          <w:b/>
          <w:color w:val="auto"/>
          <w:szCs w:val="24"/>
          <w:highlight w:val="none"/>
        </w:rPr>
      </w:pPr>
      <w:bookmarkStart w:id="56" w:name="_Hlt509649330"/>
      <w:bookmarkEnd w:id="56"/>
      <w:bookmarkStart w:id="57" w:name="_Hlt509650936"/>
      <w:bookmarkEnd w:id="57"/>
      <w:bookmarkStart w:id="58" w:name="_Hlt509649669"/>
      <w:bookmarkEnd w:id="58"/>
      <w:bookmarkStart w:id="59" w:name="_Hlt509649678"/>
      <w:bookmarkEnd w:id="59"/>
      <w:bookmarkStart w:id="60" w:name="_Hlt509650116"/>
      <w:bookmarkEnd w:id="60"/>
      <w:bookmarkStart w:id="61" w:name="_Hlt526418153"/>
      <w:bookmarkEnd w:id="61"/>
      <w:bookmarkStart w:id="62" w:name="_Hlt509649645"/>
      <w:bookmarkEnd w:id="62"/>
      <w:bookmarkStart w:id="63" w:name="_Hlt509650103"/>
      <w:bookmarkEnd w:id="63"/>
      <w:bookmarkStart w:id="64" w:name="_Hlt509649795"/>
      <w:bookmarkEnd w:id="64"/>
      <w:bookmarkStart w:id="65" w:name="_Hlt509650929"/>
      <w:bookmarkEnd w:id="65"/>
      <w:bookmarkStart w:id="66" w:name="_Hlt509650961"/>
      <w:bookmarkEnd w:id="66"/>
      <w:bookmarkStart w:id="67" w:name="_Hlt509650333"/>
      <w:bookmarkEnd w:id="67"/>
      <w:bookmarkStart w:id="68" w:name="_Hlt509650690"/>
      <w:bookmarkEnd w:id="68"/>
      <w:bookmarkStart w:id="69" w:name="_Hlt509650932"/>
      <w:bookmarkEnd w:id="69"/>
      <w:bookmarkStart w:id="70" w:name="_Toc220232391"/>
      <w:r>
        <w:rPr>
          <w:rFonts w:hAnsi="宋体"/>
          <w:b/>
          <w:color w:val="auto"/>
          <w:szCs w:val="24"/>
          <w:highlight w:val="none"/>
        </w:rPr>
        <w:t>1</w:t>
      </w:r>
      <w:r>
        <w:rPr>
          <w:rFonts w:hint="eastAsia" w:hAnsi="宋体"/>
          <w:b/>
          <w:color w:val="auto"/>
          <w:szCs w:val="24"/>
          <w:highlight w:val="none"/>
        </w:rPr>
        <w:t>.适用范围</w:t>
      </w:r>
    </w:p>
    <w:p>
      <w:pPr>
        <w:spacing w:line="360" w:lineRule="auto"/>
        <w:ind w:firstLine="480" w:firstLineChars="200"/>
        <w:rPr>
          <w:rFonts w:hAnsi="宋体"/>
          <w:color w:val="auto"/>
          <w:szCs w:val="24"/>
          <w:highlight w:val="none"/>
        </w:rPr>
      </w:pPr>
      <w:r>
        <w:rPr>
          <w:rFonts w:hAnsi="宋体"/>
          <w:color w:val="auto"/>
          <w:szCs w:val="24"/>
          <w:highlight w:val="none"/>
        </w:rPr>
        <w:t>1.</w:t>
      </w:r>
      <w:r>
        <w:rPr>
          <w:rFonts w:hint="eastAsia" w:hAnsi="宋体"/>
          <w:color w:val="auto"/>
          <w:szCs w:val="24"/>
          <w:highlight w:val="none"/>
        </w:rPr>
        <w:t>1本询比采购文件仅适用于本次询比所述的项目。</w:t>
      </w:r>
    </w:p>
    <w:p>
      <w:pPr>
        <w:spacing w:line="360" w:lineRule="auto"/>
        <w:ind w:firstLine="482" w:firstLineChars="200"/>
        <w:rPr>
          <w:rFonts w:hAnsi="宋体"/>
          <w:b/>
          <w:color w:val="auto"/>
          <w:szCs w:val="24"/>
          <w:highlight w:val="none"/>
        </w:rPr>
      </w:pPr>
      <w:r>
        <w:rPr>
          <w:rFonts w:hint="eastAsia" w:hAnsi="宋体"/>
          <w:b/>
          <w:color w:val="auto"/>
          <w:szCs w:val="24"/>
          <w:highlight w:val="none"/>
        </w:rPr>
        <w:t>2.有关定义</w:t>
      </w:r>
    </w:p>
    <w:p>
      <w:pPr>
        <w:spacing w:line="360" w:lineRule="auto"/>
        <w:ind w:firstLine="480" w:firstLineChars="200"/>
        <w:rPr>
          <w:rFonts w:hAnsi="宋体"/>
          <w:color w:val="auto"/>
          <w:szCs w:val="24"/>
          <w:highlight w:val="none"/>
        </w:rPr>
      </w:pPr>
      <w:r>
        <w:rPr>
          <w:rFonts w:hint="eastAsia" w:hAnsi="宋体"/>
          <w:color w:val="auto"/>
          <w:szCs w:val="24"/>
          <w:highlight w:val="none"/>
        </w:rPr>
        <w:t>2.1采购人：系指中水淮河规划设计研究有限公司。</w:t>
      </w:r>
    </w:p>
    <w:p>
      <w:pPr>
        <w:spacing w:line="360" w:lineRule="auto"/>
        <w:ind w:firstLine="480" w:firstLineChars="200"/>
        <w:rPr>
          <w:rFonts w:hAnsi="宋体"/>
          <w:color w:val="auto"/>
          <w:szCs w:val="24"/>
          <w:highlight w:val="none"/>
        </w:rPr>
      </w:pPr>
      <w:r>
        <w:rPr>
          <w:rFonts w:hint="eastAsia" w:hAnsi="宋体"/>
          <w:color w:val="auto"/>
          <w:szCs w:val="24"/>
          <w:highlight w:val="none"/>
        </w:rPr>
        <w:t>2.2委托人：系指中水淮河规划设计研究有限公司。</w:t>
      </w:r>
    </w:p>
    <w:p>
      <w:pPr>
        <w:spacing w:line="360" w:lineRule="auto"/>
        <w:ind w:firstLine="480" w:firstLineChars="200"/>
        <w:rPr>
          <w:rFonts w:hAnsi="宋体"/>
          <w:color w:val="auto"/>
          <w:szCs w:val="24"/>
          <w:highlight w:val="none"/>
        </w:rPr>
      </w:pPr>
      <w:r>
        <w:rPr>
          <w:rFonts w:hint="eastAsia" w:hAnsi="宋体"/>
          <w:color w:val="auto"/>
          <w:szCs w:val="24"/>
          <w:highlight w:val="none"/>
        </w:rPr>
        <w:t>2.3采购代理机构：系指安徽安兆工程技术咨询服务有限公司。</w:t>
      </w:r>
    </w:p>
    <w:p>
      <w:pPr>
        <w:spacing w:line="360" w:lineRule="auto"/>
        <w:ind w:firstLine="480" w:firstLineChars="200"/>
        <w:rPr>
          <w:rFonts w:hAnsi="宋体"/>
          <w:color w:val="auto"/>
          <w:highlight w:val="none"/>
        </w:rPr>
      </w:pPr>
      <w:r>
        <w:rPr>
          <w:rFonts w:hint="eastAsia" w:hAnsi="宋体"/>
          <w:color w:val="auto"/>
          <w:szCs w:val="24"/>
          <w:highlight w:val="none"/>
        </w:rPr>
        <w:t>2.4供应商：</w:t>
      </w:r>
      <w:r>
        <w:rPr>
          <w:rFonts w:hint="eastAsia" w:hAnsi="宋体"/>
          <w:color w:val="auto"/>
          <w:highlight w:val="none"/>
        </w:rPr>
        <w:t>系指响应询比、参加询比的法人、其他组织或自然人。分支机构不得参加采购活动，但银行、保险、石油石化、电力、电信等特殊行业除外。</w:t>
      </w:r>
    </w:p>
    <w:p>
      <w:pPr>
        <w:spacing w:line="360" w:lineRule="auto"/>
        <w:ind w:firstLine="470" w:firstLineChars="196"/>
        <w:rPr>
          <w:rFonts w:hAnsi="宋体"/>
          <w:bCs/>
          <w:color w:val="auto"/>
          <w:highlight w:val="none"/>
        </w:rPr>
      </w:pPr>
      <w:r>
        <w:rPr>
          <w:rFonts w:hint="eastAsia" w:hAnsi="宋体"/>
          <w:bCs/>
          <w:color w:val="auto"/>
          <w:highlight w:val="none"/>
        </w:rPr>
        <w:t>2.5时限（年份、月份等）计算：系指从询比之日向前追溯X年/月（“X”为“一”及以后整数）起算。除非本询比采购文件另有规定，否则业绩时间均以合同签订之日为追溯结点。</w:t>
      </w:r>
    </w:p>
    <w:p>
      <w:pPr>
        <w:spacing w:line="360" w:lineRule="auto"/>
        <w:ind w:firstLine="480" w:firstLineChars="200"/>
        <w:rPr>
          <w:rFonts w:hAnsi="宋体"/>
          <w:color w:val="auto"/>
          <w:szCs w:val="24"/>
          <w:highlight w:val="none"/>
        </w:rPr>
      </w:pPr>
      <w:r>
        <w:rPr>
          <w:rFonts w:hint="eastAsia" w:hAnsi="宋体"/>
          <w:color w:val="auto"/>
          <w:szCs w:val="24"/>
          <w:highlight w:val="none"/>
        </w:rPr>
        <w:t>2.6业绩：系指符合本询比采购文件规定的业绩。供应商与其关联公司（如母公司、控股公司、参股公司、分公司、子公司、同一法定代表人的公司等）之间签订的合同，均不予认可。</w:t>
      </w:r>
    </w:p>
    <w:p>
      <w:pPr>
        <w:spacing w:line="360" w:lineRule="auto"/>
        <w:ind w:firstLine="482" w:firstLineChars="200"/>
        <w:rPr>
          <w:rFonts w:hAnsi="宋体"/>
          <w:b/>
          <w:color w:val="auto"/>
          <w:szCs w:val="24"/>
          <w:highlight w:val="none"/>
        </w:rPr>
      </w:pPr>
      <w:r>
        <w:rPr>
          <w:rFonts w:hint="eastAsia" w:hAnsi="宋体"/>
          <w:b/>
          <w:color w:val="auto"/>
          <w:szCs w:val="24"/>
          <w:highlight w:val="none"/>
        </w:rPr>
        <w:t>3.询比费用</w:t>
      </w:r>
    </w:p>
    <w:p>
      <w:pPr>
        <w:spacing w:line="360" w:lineRule="auto"/>
        <w:ind w:firstLine="480" w:firstLineChars="200"/>
        <w:rPr>
          <w:rFonts w:hAnsi="宋体"/>
          <w:color w:val="auto"/>
          <w:szCs w:val="24"/>
          <w:highlight w:val="none"/>
        </w:rPr>
      </w:pPr>
      <w:r>
        <w:rPr>
          <w:rFonts w:hint="eastAsia" w:hAnsi="宋体"/>
          <w:color w:val="auto"/>
          <w:szCs w:val="24"/>
          <w:highlight w:val="none"/>
        </w:rPr>
        <w:t>3.1无论询比结果如何，供应商应自行承担其编制与递交响应文件所涉及的一切费用。</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4.合格的供应商</w:t>
      </w:r>
    </w:p>
    <w:p>
      <w:pPr>
        <w:spacing w:line="360" w:lineRule="auto"/>
        <w:ind w:firstLine="480" w:firstLineChars="200"/>
        <w:rPr>
          <w:rFonts w:hAnsi="宋体"/>
          <w:color w:val="auto"/>
          <w:szCs w:val="24"/>
          <w:highlight w:val="none"/>
        </w:rPr>
      </w:pPr>
      <w:r>
        <w:rPr>
          <w:rFonts w:hint="eastAsia" w:hAnsi="宋体"/>
          <w:color w:val="auto"/>
          <w:szCs w:val="24"/>
          <w:highlight w:val="none"/>
        </w:rPr>
        <w:t>4.1合格的供应商应符合询比采购文件载明的询比资格。除非询比采购文件认可，否则母、子公司之间的业绩、资质不得互用。</w:t>
      </w:r>
    </w:p>
    <w:p>
      <w:pPr>
        <w:spacing w:line="360" w:lineRule="auto"/>
        <w:ind w:firstLine="480" w:firstLineChars="200"/>
        <w:rPr>
          <w:rFonts w:hAnsi="宋体"/>
          <w:color w:val="auto"/>
          <w:szCs w:val="24"/>
          <w:highlight w:val="none"/>
        </w:rPr>
      </w:pPr>
      <w:r>
        <w:rPr>
          <w:rFonts w:hint="eastAsia" w:hAnsi="宋体"/>
          <w:color w:val="auto"/>
          <w:szCs w:val="24"/>
          <w:highlight w:val="none"/>
        </w:rPr>
        <w:t>4.2单位负责人为同一人或者存在控股、管理关系的不同单位，不得参加同一标段询比或者未划分标段的同一项目询比。</w:t>
      </w:r>
    </w:p>
    <w:p>
      <w:pPr>
        <w:spacing w:line="360" w:lineRule="auto"/>
        <w:ind w:firstLine="480" w:firstLineChars="200"/>
        <w:rPr>
          <w:rFonts w:hAnsi="宋体"/>
          <w:color w:val="auto"/>
          <w:szCs w:val="24"/>
          <w:highlight w:val="none"/>
        </w:rPr>
      </w:pPr>
      <w:r>
        <w:rPr>
          <w:rFonts w:hint="eastAsia" w:hAnsi="宋体"/>
          <w:color w:val="auto"/>
          <w:szCs w:val="24"/>
          <w:highlight w:val="none"/>
        </w:rPr>
        <w:t>4.3法律和行政法规所规定的属于其他不合格供应商的条件。</w:t>
      </w:r>
    </w:p>
    <w:p>
      <w:pPr>
        <w:spacing w:line="360" w:lineRule="auto"/>
        <w:ind w:firstLine="482" w:firstLineChars="200"/>
        <w:rPr>
          <w:rFonts w:hAnsi="宋体"/>
          <w:b/>
          <w:color w:val="auto"/>
          <w:szCs w:val="24"/>
          <w:highlight w:val="none"/>
        </w:rPr>
      </w:pPr>
      <w:r>
        <w:rPr>
          <w:rFonts w:hint="eastAsia" w:hAnsi="宋体"/>
          <w:b/>
          <w:color w:val="auto"/>
          <w:szCs w:val="24"/>
          <w:highlight w:val="none"/>
        </w:rPr>
        <w:t>5.勘察现场</w:t>
      </w:r>
    </w:p>
    <w:p>
      <w:pPr>
        <w:spacing w:line="360" w:lineRule="auto"/>
        <w:ind w:firstLine="480" w:firstLineChars="200"/>
        <w:rPr>
          <w:rFonts w:hAnsi="宋体"/>
          <w:color w:val="auto"/>
          <w:szCs w:val="24"/>
          <w:highlight w:val="none"/>
        </w:rPr>
      </w:pPr>
      <w:r>
        <w:rPr>
          <w:rFonts w:hint="eastAsia" w:hAnsi="宋体"/>
          <w:color w:val="auto"/>
          <w:szCs w:val="24"/>
          <w:highlight w:val="none"/>
        </w:rPr>
        <w:t>5.1供应商应自行对服务现场和周围环境进行勘察，以获取编制响应文件和签署合同所需的资料。勘察现场的方式、地址及联系方式见供应商须知前附表。</w:t>
      </w:r>
    </w:p>
    <w:p>
      <w:pPr>
        <w:spacing w:line="360" w:lineRule="auto"/>
        <w:ind w:firstLine="480" w:firstLineChars="200"/>
        <w:rPr>
          <w:rFonts w:hAnsi="宋体"/>
          <w:color w:val="auto"/>
          <w:szCs w:val="24"/>
          <w:highlight w:val="none"/>
        </w:rPr>
      </w:pPr>
      <w:r>
        <w:rPr>
          <w:rFonts w:hint="eastAsia" w:hAnsi="宋体"/>
          <w:color w:val="auto"/>
          <w:szCs w:val="24"/>
          <w:highlight w:val="none"/>
        </w:rPr>
        <w:t>5.2勘察现场所发生的费用由供应商自行承担。采购人对供应商由此而做出的推论、理解和结论概不负责。供应商未到现场实地踏勘的，成交后签订合同时和履约过程中，不得以不完全了解现场情况为由，提出任何形式的增加合同价款或索赔的要求。</w:t>
      </w:r>
    </w:p>
    <w:p>
      <w:pPr>
        <w:spacing w:line="360" w:lineRule="auto"/>
        <w:ind w:firstLine="480" w:firstLineChars="200"/>
        <w:rPr>
          <w:rFonts w:hAnsi="宋体"/>
          <w:color w:val="auto"/>
          <w:szCs w:val="24"/>
          <w:highlight w:val="none"/>
        </w:rPr>
      </w:pPr>
      <w:r>
        <w:rPr>
          <w:rFonts w:hint="eastAsia" w:hAnsi="宋体"/>
          <w:color w:val="auto"/>
          <w:szCs w:val="24"/>
          <w:highlight w:val="none"/>
        </w:rPr>
        <w:t>5.3除非有特殊要求，询比采购文件不单独提供项目所在地的自然环境、气候条件、公用设施等情况，供应商被视为熟悉上述与履行合同有关的一切情况。</w:t>
      </w:r>
    </w:p>
    <w:p>
      <w:pPr>
        <w:spacing w:line="360" w:lineRule="auto"/>
        <w:ind w:firstLine="482" w:firstLineChars="200"/>
        <w:rPr>
          <w:rFonts w:hAnsi="宋体"/>
          <w:bCs/>
          <w:color w:val="auto"/>
          <w:szCs w:val="24"/>
          <w:highlight w:val="none"/>
        </w:rPr>
      </w:pPr>
      <w:r>
        <w:rPr>
          <w:rFonts w:hint="eastAsia" w:hAnsi="宋体"/>
          <w:b/>
          <w:color w:val="auto"/>
          <w:szCs w:val="24"/>
          <w:highlight w:val="none"/>
        </w:rPr>
        <w:t>6.知识产权</w:t>
      </w:r>
    </w:p>
    <w:p>
      <w:pPr>
        <w:spacing w:line="360" w:lineRule="auto"/>
        <w:ind w:firstLine="480" w:firstLineChars="200"/>
        <w:rPr>
          <w:rFonts w:hAnsi="宋体"/>
          <w:bCs/>
          <w:color w:val="auto"/>
          <w:szCs w:val="24"/>
          <w:highlight w:val="none"/>
        </w:rPr>
      </w:pPr>
      <w:r>
        <w:rPr>
          <w:rFonts w:hint="eastAsia" w:hAnsi="宋体"/>
          <w:color w:val="auto"/>
          <w:szCs w:val="24"/>
          <w:highlight w:val="none"/>
        </w:rPr>
        <w:t>6.1</w:t>
      </w:r>
      <w:r>
        <w:rPr>
          <w:rFonts w:hint="eastAsia" w:hAnsi="宋体"/>
          <w:bCs/>
          <w:color w:val="auto"/>
          <w:szCs w:val="24"/>
          <w:highlight w:val="none"/>
        </w:rPr>
        <w:t>供应商须保证，采购人在中华人民共和国境内使用询比货物、资料、技术、服务或其任何一部分时，享有不受限制的无偿使用权，不会产生因第三方提出侵犯其专利权、商标权或其它知识产权而引起的法律或经济纠纷。如供应商不拥有相应的知识产权，则在询比报价中必须包括合法获取该知识产权的一切相关费用。</w:t>
      </w:r>
      <w:r>
        <w:rPr>
          <w:rFonts w:hint="eastAsia" w:hAnsi="宋体"/>
          <w:color w:val="auto"/>
          <w:szCs w:val="24"/>
          <w:highlight w:val="none"/>
        </w:rPr>
        <w:t>如因此导致采购人损失的，供应商须承担全部赔偿责任。</w:t>
      </w:r>
    </w:p>
    <w:p>
      <w:pPr>
        <w:spacing w:line="360" w:lineRule="auto"/>
        <w:ind w:firstLine="482" w:firstLineChars="200"/>
        <w:rPr>
          <w:rFonts w:hAnsi="宋体"/>
          <w:b/>
          <w:color w:val="auto"/>
          <w:szCs w:val="24"/>
          <w:highlight w:val="none"/>
        </w:rPr>
      </w:pPr>
      <w:r>
        <w:rPr>
          <w:rFonts w:hint="eastAsia" w:hAnsi="宋体"/>
          <w:b/>
          <w:color w:val="auto"/>
          <w:szCs w:val="24"/>
          <w:highlight w:val="none"/>
        </w:rPr>
        <w:t>7.纪律与保密</w:t>
      </w:r>
    </w:p>
    <w:p>
      <w:pPr>
        <w:spacing w:line="360" w:lineRule="auto"/>
        <w:ind w:firstLine="480" w:firstLineChars="200"/>
        <w:rPr>
          <w:rFonts w:hAnsi="宋体"/>
          <w:color w:val="auto"/>
          <w:szCs w:val="24"/>
          <w:highlight w:val="none"/>
        </w:rPr>
      </w:pPr>
      <w:r>
        <w:rPr>
          <w:rFonts w:hint="eastAsia" w:hAnsi="宋体"/>
          <w:color w:val="auto"/>
          <w:szCs w:val="24"/>
          <w:highlight w:val="none"/>
        </w:rPr>
        <w:t>7.1供应商的询比行为应遵守中国的有关法律、法规和规章。</w:t>
      </w:r>
    </w:p>
    <w:p>
      <w:pPr>
        <w:spacing w:line="360" w:lineRule="auto"/>
        <w:ind w:firstLine="480" w:firstLineChars="200"/>
        <w:rPr>
          <w:rFonts w:hAnsi="宋体"/>
          <w:color w:val="auto"/>
          <w:szCs w:val="24"/>
          <w:highlight w:val="none"/>
        </w:rPr>
      </w:pPr>
      <w:r>
        <w:rPr>
          <w:rFonts w:hint="eastAsia" w:hAnsi="宋体"/>
          <w:color w:val="auto"/>
          <w:szCs w:val="24"/>
          <w:highlight w:val="none"/>
        </w:rPr>
        <w:t>7.2供应商不得相互串通询比报价，不得妨碍其他供应商的公平竞争，不得损害采购人或其他供应商的合法权益，供应商不得以向采购人、</w:t>
      </w:r>
      <w:r>
        <w:rPr>
          <w:rFonts w:hint="eastAsia" w:hAnsi="宋体"/>
          <w:color w:val="auto"/>
          <w:highlight w:val="none"/>
        </w:rPr>
        <w:t>评审委员会</w:t>
      </w:r>
      <w:r>
        <w:rPr>
          <w:rFonts w:hint="eastAsia" w:hAnsi="宋体"/>
          <w:color w:val="auto"/>
          <w:szCs w:val="24"/>
          <w:highlight w:val="none"/>
        </w:rPr>
        <w:t>成员行贿或者采取其他不正当手段谋取成交。</w:t>
      </w:r>
    </w:p>
    <w:p>
      <w:pPr>
        <w:spacing w:line="360" w:lineRule="auto"/>
        <w:ind w:firstLine="480" w:firstLineChars="200"/>
        <w:rPr>
          <w:rFonts w:hAnsi="宋体"/>
          <w:color w:val="auto"/>
          <w:szCs w:val="24"/>
          <w:highlight w:val="none"/>
        </w:rPr>
      </w:pPr>
      <w:r>
        <w:rPr>
          <w:rFonts w:hint="eastAsia" w:hAnsi="宋体"/>
          <w:color w:val="auto"/>
          <w:szCs w:val="24"/>
          <w:highlight w:val="none"/>
        </w:rPr>
        <w:t>7.2.1有下列情形之一的，属于供应商相互串通询比：</w:t>
      </w:r>
    </w:p>
    <w:p>
      <w:pPr>
        <w:spacing w:line="360" w:lineRule="auto"/>
        <w:ind w:firstLine="480" w:firstLineChars="200"/>
        <w:rPr>
          <w:rFonts w:hAnsi="宋体"/>
          <w:color w:val="auto"/>
          <w:szCs w:val="24"/>
          <w:highlight w:val="none"/>
        </w:rPr>
      </w:pPr>
      <w:r>
        <w:rPr>
          <w:rFonts w:hint="eastAsia" w:hAnsi="宋体"/>
          <w:color w:val="auto"/>
          <w:szCs w:val="24"/>
          <w:highlight w:val="none"/>
        </w:rPr>
        <w:t>7.2.1.1供应商之间协商询比报价等响应文件的实质性内容；</w:t>
      </w:r>
    </w:p>
    <w:p>
      <w:pPr>
        <w:spacing w:line="360" w:lineRule="auto"/>
        <w:ind w:firstLine="480" w:firstLineChars="200"/>
        <w:rPr>
          <w:rFonts w:hAnsi="宋体"/>
          <w:color w:val="auto"/>
          <w:szCs w:val="24"/>
          <w:highlight w:val="none"/>
        </w:rPr>
      </w:pPr>
      <w:r>
        <w:rPr>
          <w:rFonts w:hint="eastAsia" w:hAnsi="宋体"/>
          <w:color w:val="auto"/>
          <w:szCs w:val="24"/>
          <w:highlight w:val="none"/>
        </w:rPr>
        <w:t>7.2.1.2供应商之间约定成交供应商；</w:t>
      </w:r>
    </w:p>
    <w:p>
      <w:pPr>
        <w:spacing w:line="360" w:lineRule="auto"/>
        <w:ind w:firstLine="480" w:firstLineChars="200"/>
        <w:rPr>
          <w:rFonts w:hAnsi="宋体"/>
          <w:color w:val="auto"/>
          <w:szCs w:val="24"/>
          <w:highlight w:val="none"/>
        </w:rPr>
      </w:pPr>
      <w:r>
        <w:rPr>
          <w:rFonts w:hint="eastAsia" w:hAnsi="宋体"/>
          <w:color w:val="auto"/>
          <w:szCs w:val="24"/>
          <w:highlight w:val="none"/>
        </w:rPr>
        <w:t>7.2.1.3供应商之间约定部分供应商放弃询比或者成交；</w:t>
      </w:r>
    </w:p>
    <w:p>
      <w:pPr>
        <w:spacing w:line="360" w:lineRule="auto"/>
        <w:ind w:firstLine="480" w:firstLineChars="200"/>
        <w:rPr>
          <w:rFonts w:hAnsi="宋体"/>
          <w:color w:val="auto"/>
          <w:szCs w:val="24"/>
          <w:highlight w:val="none"/>
        </w:rPr>
      </w:pPr>
      <w:r>
        <w:rPr>
          <w:rFonts w:hint="eastAsia" w:hAnsi="宋体"/>
          <w:color w:val="auto"/>
          <w:szCs w:val="24"/>
          <w:highlight w:val="none"/>
        </w:rPr>
        <w:t>7.2.1.4属于同一集团、协会、商会等组织成员的供应商按照该组织要求协同询比；</w:t>
      </w:r>
    </w:p>
    <w:p>
      <w:pPr>
        <w:spacing w:line="360" w:lineRule="auto"/>
        <w:ind w:firstLine="480" w:firstLineChars="200"/>
        <w:rPr>
          <w:rFonts w:hAnsi="宋体"/>
          <w:color w:val="auto"/>
          <w:szCs w:val="24"/>
          <w:highlight w:val="none"/>
        </w:rPr>
      </w:pPr>
      <w:r>
        <w:rPr>
          <w:rFonts w:hint="eastAsia" w:hAnsi="宋体"/>
          <w:color w:val="auto"/>
          <w:szCs w:val="24"/>
          <w:highlight w:val="none"/>
        </w:rPr>
        <w:t>7.2.1.5供应商之间为谋取成交或者排斥特定供应商而采取的其他联合行动。</w:t>
      </w:r>
    </w:p>
    <w:p>
      <w:pPr>
        <w:spacing w:line="360" w:lineRule="auto"/>
        <w:ind w:firstLine="480" w:firstLineChars="200"/>
        <w:rPr>
          <w:rFonts w:hAnsi="宋体"/>
          <w:color w:val="auto"/>
          <w:szCs w:val="24"/>
          <w:highlight w:val="none"/>
        </w:rPr>
      </w:pPr>
      <w:r>
        <w:rPr>
          <w:rFonts w:hint="eastAsia" w:hAnsi="宋体"/>
          <w:color w:val="auto"/>
          <w:szCs w:val="24"/>
          <w:highlight w:val="none"/>
        </w:rPr>
        <w:t>7.2.2有下列情形之一的，视为供应商相互串通询比：</w:t>
      </w:r>
    </w:p>
    <w:p>
      <w:pPr>
        <w:spacing w:line="360" w:lineRule="auto"/>
        <w:ind w:firstLine="480" w:firstLineChars="200"/>
        <w:rPr>
          <w:rFonts w:hAnsi="宋体"/>
          <w:color w:val="auto"/>
          <w:szCs w:val="24"/>
          <w:highlight w:val="none"/>
        </w:rPr>
      </w:pPr>
      <w:r>
        <w:rPr>
          <w:rFonts w:hint="eastAsia" w:hAnsi="宋体"/>
          <w:color w:val="auto"/>
          <w:szCs w:val="24"/>
          <w:highlight w:val="none"/>
        </w:rPr>
        <w:t>7.2.2.1不同供应商的响应文件由同一单位或者个人编制；</w:t>
      </w:r>
    </w:p>
    <w:p>
      <w:pPr>
        <w:spacing w:line="360" w:lineRule="auto"/>
        <w:ind w:firstLine="480" w:firstLineChars="200"/>
        <w:rPr>
          <w:rFonts w:hAnsi="宋体"/>
          <w:color w:val="auto"/>
          <w:szCs w:val="24"/>
          <w:highlight w:val="none"/>
        </w:rPr>
      </w:pPr>
      <w:r>
        <w:rPr>
          <w:rFonts w:hint="eastAsia" w:hAnsi="宋体"/>
          <w:color w:val="auto"/>
          <w:szCs w:val="24"/>
          <w:highlight w:val="none"/>
        </w:rPr>
        <w:t>7.2.2.2不同供应商委托同一单位或者个人办理询比事宜；</w:t>
      </w:r>
    </w:p>
    <w:p>
      <w:pPr>
        <w:spacing w:line="360" w:lineRule="auto"/>
        <w:ind w:firstLine="480" w:firstLineChars="200"/>
        <w:rPr>
          <w:rFonts w:hAnsi="宋体"/>
          <w:color w:val="auto"/>
          <w:szCs w:val="24"/>
          <w:highlight w:val="none"/>
        </w:rPr>
      </w:pPr>
      <w:r>
        <w:rPr>
          <w:rFonts w:hint="eastAsia" w:hAnsi="宋体"/>
          <w:color w:val="auto"/>
          <w:szCs w:val="24"/>
          <w:highlight w:val="none"/>
        </w:rPr>
        <w:t>7.2.2.3不同供应商的响应文件载明的项目管理成员为同一人；</w:t>
      </w:r>
    </w:p>
    <w:p>
      <w:pPr>
        <w:spacing w:line="360" w:lineRule="auto"/>
        <w:ind w:firstLine="480" w:firstLineChars="200"/>
        <w:rPr>
          <w:rFonts w:hAnsi="宋体"/>
          <w:color w:val="auto"/>
          <w:szCs w:val="24"/>
          <w:highlight w:val="none"/>
        </w:rPr>
      </w:pPr>
      <w:r>
        <w:rPr>
          <w:rFonts w:hint="eastAsia" w:hAnsi="宋体"/>
          <w:color w:val="auto"/>
          <w:szCs w:val="24"/>
          <w:highlight w:val="none"/>
        </w:rPr>
        <w:t>7.2.2.4不同供应商的响应文件异常一致或者询比报价呈规律性差异；</w:t>
      </w:r>
    </w:p>
    <w:p>
      <w:pPr>
        <w:spacing w:line="360" w:lineRule="auto"/>
        <w:ind w:firstLine="480" w:firstLineChars="200"/>
        <w:rPr>
          <w:rFonts w:hAnsi="宋体"/>
          <w:color w:val="auto"/>
          <w:szCs w:val="24"/>
          <w:highlight w:val="none"/>
        </w:rPr>
      </w:pPr>
      <w:r>
        <w:rPr>
          <w:rFonts w:hint="eastAsia" w:hAnsi="宋体"/>
          <w:color w:val="auto"/>
          <w:szCs w:val="24"/>
          <w:highlight w:val="none"/>
        </w:rPr>
        <w:t>7.2.2.5不同供应商的响应文件相互混装；</w:t>
      </w:r>
    </w:p>
    <w:p>
      <w:pPr>
        <w:spacing w:line="360" w:lineRule="auto"/>
        <w:ind w:firstLine="480" w:firstLineChars="200"/>
        <w:rPr>
          <w:rFonts w:hAnsi="宋体"/>
          <w:color w:val="auto"/>
          <w:szCs w:val="24"/>
          <w:highlight w:val="none"/>
        </w:rPr>
      </w:pPr>
      <w:r>
        <w:rPr>
          <w:rFonts w:hint="eastAsia" w:hAnsi="宋体"/>
          <w:color w:val="auto"/>
          <w:szCs w:val="24"/>
          <w:highlight w:val="none"/>
        </w:rPr>
        <w:t>7.2.2.6不同供应商的询比保证金从同一单位或者个人的账户转出。</w:t>
      </w:r>
    </w:p>
    <w:p>
      <w:pPr>
        <w:spacing w:line="360" w:lineRule="auto"/>
        <w:ind w:firstLine="480" w:firstLineChars="200"/>
        <w:rPr>
          <w:rFonts w:hAnsi="宋体"/>
          <w:color w:val="auto"/>
          <w:szCs w:val="24"/>
          <w:highlight w:val="none"/>
        </w:rPr>
      </w:pPr>
      <w:r>
        <w:rPr>
          <w:rFonts w:hint="eastAsia" w:hAnsi="宋体"/>
          <w:color w:val="auto"/>
          <w:szCs w:val="24"/>
          <w:highlight w:val="none"/>
        </w:rPr>
        <w:t>7.3在确定成交供应商之前，供应商不得与采购人就询比价格、询比方案等实质性内容进行询比，也不得私下接触</w:t>
      </w:r>
      <w:r>
        <w:rPr>
          <w:rFonts w:hint="eastAsia" w:hAnsi="宋体"/>
          <w:color w:val="auto"/>
          <w:highlight w:val="none"/>
        </w:rPr>
        <w:t>评审委员会</w:t>
      </w:r>
      <w:r>
        <w:rPr>
          <w:rFonts w:hint="eastAsia" w:hAnsi="宋体"/>
          <w:color w:val="auto"/>
          <w:szCs w:val="24"/>
          <w:highlight w:val="none"/>
        </w:rPr>
        <w:t>成员。</w:t>
      </w:r>
    </w:p>
    <w:p>
      <w:pPr>
        <w:spacing w:line="360" w:lineRule="auto"/>
        <w:ind w:firstLine="480" w:firstLineChars="200"/>
        <w:rPr>
          <w:rFonts w:hAnsi="宋体"/>
          <w:color w:val="auto"/>
          <w:szCs w:val="24"/>
          <w:highlight w:val="none"/>
        </w:rPr>
      </w:pPr>
      <w:r>
        <w:rPr>
          <w:rFonts w:hint="eastAsia" w:hAnsi="宋体"/>
          <w:color w:val="auto"/>
          <w:szCs w:val="24"/>
          <w:highlight w:val="none"/>
        </w:rPr>
        <w:t>7.4在确定成交供应商之前，供应商试图在响应文件审查、澄清、比较和评价时对</w:t>
      </w:r>
      <w:r>
        <w:rPr>
          <w:rFonts w:hint="eastAsia" w:hAnsi="宋体"/>
          <w:color w:val="auto"/>
          <w:highlight w:val="none"/>
        </w:rPr>
        <w:t>评审委员会</w:t>
      </w:r>
      <w:r>
        <w:rPr>
          <w:rFonts w:hint="eastAsia" w:hAnsi="宋体"/>
          <w:color w:val="auto"/>
          <w:szCs w:val="24"/>
          <w:highlight w:val="none"/>
        </w:rPr>
        <w:t>、采购人和安徽安兆工程技术咨询服务有限公司施加任何影响都可能导致其询比无效。</w:t>
      </w:r>
    </w:p>
    <w:p>
      <w:pPr>
        <w:spacing w:line="360" w:lineRule="auto"/>
        <w:ind w:firstLine="480" w:firstLineChars="200"/>
        <w:rPr>
          <w:rFonts w:hAnsi="宋体"/>
          <w:b/>
          <w:bCs/>
          <w:color w:val="auto"/>
          <w:szCs w:val="24"/>
          <w:highlight w:val="none"/>
        </w:rPr>
      </w:pPr>
      <w:r>
        <w:rPr>
          <w:rFonts w:hint="eastAsia" w:hAnsi="宋体"/>
          <w:color w:val="auto"/>
          <w:szCs w:val="24"/>
          <w:highlight w:val="none"/>
        </w:rPr>
        <w:t>7.5由采购人向供应商提供的相关资料，被视为保密资料，仅被用于它所规定的用途。除非得到采购人的同意，不能向任何第三方透露。询比结束后，应采购人要求，供应商应归还所有从采购人处获得的保密资料。</w:t>
      </w:r>
    </w:p>
    <w:p>
      <w:pPr>
        <w:spacing w:line="360" w:lineRule="auto"/>
        <w:ind w:firstLine="482" w:firstLineChars="200"/>
        <w:rPr>
          <w:rFonts w:hAnsi="宋体"/>
          <w:b/>
          <w:color w:val="auto"/>
          <w:szCs w:val="24"/>
          <w:highlight w:val="none"/>
        </w:rPr>
      </w:pPr>
      <w:r>
        <w:rPr>
          <w:rFonts w:hint="eastAsia" w:hAnsi="宋体"/>
          <w:b/>
          <w:color w:val="auto"/>
          <w:szCs w:val="24"/>
          <w:highlight w:val="none"/>
        </w:rPr>
        <w:t>8.联合体响应（本项目不采用）</w:t>
      </w:r>
    </w:p>
    <w:p>
      <w:pPr>
        <w:spacing w:line="360" w:lineRule="auto"/>
        <w:ind w:firstLine="480" w:firstLineChars="200"/>
        <w:rPr>
          <w:rFonts w:hAnsi="宋体"/>
          <w:color w:val="auto"/>
          <w:szCs w:val="24"/>
          <w:highlight w:val="none"/>
        </w:rPr>
      </w:pPr>
      <w:r>
        <w:rPr>
          <w:rFonts w:hint="eastAsia" w:hAnsi="宋体"/>
          <w:color w:val="auto"/>
          <w:szCs w:val="24"/>
          <w:highlight w:val="none"/>
        </w:rPr>
        <w:t>8.1除非本项目明确要求不接受联合体形式</w:t>
      </w:r>
      <w:r>
        <w:rPr>
          <w:rFonts w:hint="eastAsia" w:hAnsi="宋体"/>
          <w:b/>
          <w:color w:val="auto"/>
          <w:szCs w:val="24"/>
          <w:highlight w:val="none"/>
        </w:rPr>
        <w:t>响应</w:t>
      </w:r>
      <w:r>
        <w:rPr>
          <w:rFonts w:hint="eastAsia" w:hAnsi="宋体"/>
          <w:color w:val="auto"/>
          <w:szCs w:val="24"/>
          <w:highlight w:val="none"/>
        </w:rPr>
        <w:t>外，两个或两个以上供应商可以组成一个联合体</w:t>
      </w:r>
      <w:r>
        <w:rPr>
          <w:rFonts w:hint="eastAsia" w:hAnsi="宋体"/>
          <w:b/>
          <w:color w:val="auto"/>
          <w:szCs w:val="24"/>
          <w:highlight w:val="none"/>
        </w:rPr>
        <w:t>响应</w:t>
      </w:r>
      <w:r>
        <w:rPr>
          <w:rFonts w:hint="eastAsia" w:hAnsi="宋体"/>
          <w:color w:val="auto"/>
          <w:szCs w:val="24"/>
          <w:highlight w:val="none"/>
        </w:rPr>
        <w:t>，以一个供应商的身份参与询比。</w:t>
      </w:r>
    </w:p>
    <w:p>
      <w:pPr>
        <w:spacing w:line="360" w:lineRule="auto"/>
        <w:ind w:firstLine="480" w:firstLineChars="200"/>
        <w:rPr>
          <w:rFonts w:hAnsi="宋体"/>
          <w:b/>
          <w:bCs/>
          <w:color w:val="auto"/>
          <w:szCs w:val="24"/>
          <w:highlight w:val="none"/>
        </w:rPr>
      </w:pPr>
      <w:r>
        <w:rPr>
          <w:rFonts w:hint="eastAsia" w:hAnsi="宋体"/>
          <w:color w:val="auto"/>
          <w:szCs w:val="24"/>
          <w:highlight w:val="none"/>
        </w:rPr>
        <w:t>8.2以联合体形式参加询比的，联合体各方均应当符合《政府采购法》第二十二条第一款规定的条件，根据询比项目的特殊要求规定供应商特定条件的，联合体各方中至少应当有一方符合。</w:t>
      </w:r>
    </w:p>
    <w:p>
      <w:pPr>
        <w:spacing w:line="360" w:lineRule="auto"/>
        <w:ind w:firstLine="480" w:firstLineChars="200"/>
        <w:rPr>
          <w:rFonts w:hAnsi="宋体"/>
          <w:color w:val="auto"/>
          <w:szCs w:val="24"/>
          <w:highlight w:val="none"/>
        </w:rPr>
      </w:pPr>
      <w:r>
        <w:rPr>
          <w:rFonts w:hint="eastAsia" w:hAnsi="宋体"/>
          <w:bCs/>
          <w:color w:val="auto"/>
          <w:szCs w:val="24"/>
          <w:highlight w:val="none"/>
        </w:rPr>
        <w:t>8.3</w:t>
      </w:r>
      <w:r>
        <w:rPr>
          <w:rFonts w:hint="eastAsia" w:hAnsi="宋体"/>
          <w:color w:val="auto"/>
          <w:szCs w:val="24"/>
          <w:highlight w:val="none"/>
        </w:rPr>
        <w:t>联合体各方之间应当签订联合体协议，明确约定联合体各方应当承担的工作和相应的责任。由同一专业的单位组成的联合体，按照同一资质等级较低的单位确定资质等级。联合体各方签订联合体协议后，不得再以自己的名义单独在同一项目中</w:t>
      </w:r>
      <w:r>
        <w:rPr>
          <w:rFonts w:hint="eastAsia" w:hAnsi="宋体"/>
          <w:b/>
          <w:color w:val="auto"/>
          <w:szCs w:val="24"/>
          <w:highlight w:val="none"/>
        </w:rPr>
        <w:t>响应</w:t>
      </w:r>
      <w:r>
        <w:rPr>
          <w:rFonts w:hint="eastAsia" w:hAnsi="宋体"/>
          <w:color w:val="auto"/>
          <w:szCs w:val="24"/>
          <w:highlight w:val="none"/>
        </w:rPr>
        <w:t>，也不得组成新的联合体参加同一项目</w:t>
      </w:r>
      <w:r>
        <w:rPr>
          <w:rFonts w:hint="eastAsia" w:hAnsi="宋体"/>
          <w:b/>
          <w:color w:val="auto"/>
          <w:szCs w:val="24"/>
          <w:highlight w:val="none"/>
        </w:rPr>
        <w:t>响应</w:t>
      </w:r>
      <w:r>
        <w:rPr>
          <w:rFonts w:hint="eastAsia" w:hAnsi="宋体"/>
          <w:color w:val="auto"/>
          <w:szCs w:val="24"/>
          <w:highlight w:val="none"/>
        </w:rPr>
        <w:t>。</w:t>
      </w:r>
    </w:p>
    <w:p>
      <w:pPr>
        <w:spacing w:line="360" w:lineRule="auto"/>
        <w:ind w:firstLine="480" w:firstLineChars="200"/>
        <w:rPr>
          <w:rFonts w:hAnsi="宋体"/>
          <w:color w:val="auto"/>
          <w:szCs w:val="24"/>
          <w:highlight w:val="none"/>
        </w:rPr>
      </w:pPr>
      <w:r>
        <w:rPr>
          <w:rFonts w:hint="eastAsia" w:hAnsi="宋体"/>
          <w:color w:val="auto"/>
          <w:szCs w:val="24"/>
          <w:highlight w:val="none"/>
        </w:rPr>
        <w:t>8.4联合体</w:t>
      </w:r>
      <w:r>
        <w:rPr>
          <w:rFonts w:hint="eastAsia" w:hAnsi="宋体"/>
          <w:b/>
          <w:color w:val="auto"/>
          <w:szCs w:val="24"/>
          <w:highlight w:val="none"/>
        </w:rPr>
        <w:t>响应</w:t>
      </w:r>
      <w:r>
        <w:rPr>
          <w:rFonts w:hint="eastAsia" w:hAnsi="宋体"/>
          <w:color w:val="auto"/>
          <w:szCs w:val="24"/>
          <w:highlight w:val="none"/>
        </w:rPr>
        <w:t>的，可以由联合体中的一方或者共同提交</w:t>
      </w:r>
      <w:r>
        <w:rPr>
          <w:rFonts w:hint="eastAsia" w:hAnsi="宋体"/>
          <w:b/>
          <w:color w:val="auto"/>
          <w:szCs w:val="24"/>
          <w:highlight w:val="none"/>
        </w:rPr>
        <w:t>响应</w:t>
      </w:r>
      <w:r>
        <w:rPr>
          <w:rFonts w:hint="eastAsia" w:hAnsi="宋体"/>
          <w:color w:val="auto"/>
          <w:szCs w:val="24"/>
          <w:highlight w:val="none"/>
        </w:rPr>
        <w:t>保证金，以一方名义提交保证金的，对联合体各方均具有约束力。</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9.询比品牌</w:t>
      </w:r>
    </w:p>
    <w:p>
      <w:pPr>
        <w:spacing w:line="360" w:lineRule="auto"/>
        <w:ind w:firstLine="480" w:firstLineChars="200"/>
        <w:rPr>
          <w:rFonts w:hAnsi="宋体"/>
          <w:color w:val="auto"/>
          <w:szCs w:val="24"/>
          <w:highlight w:val="none"/>
        </w:rPr>
      </w:pPr>
      <w:r>
        <w:rPr>
          <w:rFonts w:hint="eastAsia" w:hAnsi="宋体"/>
          <w:color w:val="auto"/>
          <w:szCs w:val="24"/>
          <w:highlight w:val="none"/>
        </w:rPr>
        <w:t>9.1询比采购文件中如提供参考商标、品牌或标准等，是采购人为了方便供应商更准确、更清楚说明拟采购服务的标准，并无限制性。供应商在询比中若选用替代商标、品牌或标准，应优于或相当于参考商标、品牌或标准，且须经</w:t>
      </w:r>
      <w:r>
        <w:rPr>
          <w:rFonts w:hint="eastAsia" w:hAnsi="宋体"/>
          <w:color w:val="auto"/>
          <w:highlight w:val="none"/>
        </w:rPr>
        <w:t>评审委员会</w:t>
      </w:r>
      <w:r>
        <w:rPr>
          <w:rFonts w:hint="eastAsia" w:hAnsi="宋体"/>
          <w:color w:val="auto"/>
          <w:szCs w:val="24"/>
          <w:highlight w:val="none"/>
        </w:rPr>
        <w:t>认可，否则询比无效。</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10.询比专用章的效力</w:t>
      </w:r>
    </w:p>
    <w:p>
      <w:pPr>
        <w:spacing w:line="360" w:lineRule="auto"/>
        <w:ind w:firstLine="480" w:firstLineChars="200"/>
        <w:rPr>
          <w:rFonts w:hAnsi="宋体"/>
          <w:color w:val="auto"/>
          <w:szCs w:val="24"/>
          <w:highlight w:val="none"/>
        </w:rPr>
      </w:pPr>
      <w:r>
        <w:rPr>
          <w:rFonts w:hint="eastAsia" w:hAnsi="宋体"/>
          <w:color w:val="auto"/>
          <w:szCs w:val="24"/>
          <w:highlight w:val="none"/>
        </w:rPr>
        <w:t>10.1询比采购文件中明确要求加盖公章的，供应商必须加盖供应商公章。</w:t>
      </w:r>
      <w:r>
        <w:rPr>
          <w:rFonts w:hAnsi="宋体"/>
          <w:color w:val="auto"/>
          <w:szCs w:val="24"/>
          <w:highlight w:val="none"/>
        </w:rPr>
        <w:t>在有授权文件(原件)表明</w:t>
      </w:r>
      <w:r>
        <w:rPr>
          <w:rFonts w:hint="eastAsia" w:hAnsi="宋体"/>
          <w:color w:val="auto"/>
          <w:szCs w:val="24"/>
          <w:highlight w:val="none"/>
        </w:rPr>
        <w:t>询比</w:t>
      </w:r>
      <w:r>
        <w:rPr>
          <w:rFonts w:hAnsi="宋体"/>
          <w:color w:val="auto"/>
          <w:szCs w:val="24"/>
          <w:highlight w:val="none"/>
        </w:rPr>
        <w:t>专用章法律效力等同于</w:t>
      </w:r>
      <w:r>
        <w:rPr>
          <w:rFonts w:hint="eastAsia" w:hAnsi="宋体"/>
          <w:color w:val="auto"/>
          <w:szCs w:val="24"/>
          <w:highlight w:val="none"/>
        </w:rPr>
        <w:t>供应商</w:t>
      </w:r>
      <w:r>
        <w:rPr>
          <w:rFonts w:hAnsi="宋体"/>
          <w:color w:val="auto"/>
          <w:szCs w:val="24"/>
          <w:highlight w:val="none"/>
        </w:rPr>
        <w:t>公章的情况下</w:t>
      </w:r>
      <w:r>
        <w:rPr>
          <w:rFonts w:hint="eastAsia" w:hAnsi="宋体"/>
          <w:color w:val="auto"/>
          <w:szCs w:val="24"/>
          <w:highlight w:val="none"/>
        </w:rPr>
        <w:t>，可以加</w:t>
      </w:r>
      <w:r>
        <w:rPr>
          <w:rFonts w:hAnsi="宋体"/>
          <w:color w:val="auto"/>
          <w:szCs w:val="24"/>
          <w:highlight w:val="none"/>
        </w:rPr>
        <w:t>盖</w:t>
      </w:r>
      <w:r>
        <w:rPr>
          <w:rFonts w:hint="eastAsia" w:hAnsi="宋体"/>
          <w:color w:val="auto"/>
          <w:szCs w:val="24"/>
          <w:highlight w:val="none"/>
        </w:rPr>
        <w:t>询比</w:t>
      </w:r>
      <w:r>
        <w:rPr>
          <w:rFonts w:hAnsi="宋体"/>
          <w:color w:val="auto"/>
          <w:szCs w:val="24"/>
          <w:highlight w:val="none"/>
        </w:rPr>
        <w:t>专用章</w:t>
      </w:r>
      <w:r>
        <w:rPr>
          <w:rFonts w:hint="eastAsia" w:hAnsi="宋体"/>
          <w:color w:val="auto"/>
          <w:szCs w:val="24"/>
          <w:highlight w:val="none"/>
        </w:rPr>
        <w:t>，否则将导致询比无效。</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11.合同标的转让</w:t>
      </w:r>
    </w:p>
    <w:p>
      <w:pPr>
        <w:spacing w:line="360" w:lineRule="auto"/>
        <w:ind w:firstLine="480" w:firstLineChars="200"/>
        <w:rPr>
          <w:rFonts w:hAnsi="宋体"/>
          <w:color w:val="auto"/>
          <w:szCs w:val="24"/>
          <w:highlight w:val="none"/>
        </w:rPr>
      </w:pPr>
      <w:r>
        <w:rPr>
          <w:rFonts w:hint="eastAsia" w:hAnsi="宋体"/>
          <w:color w:val="auto"/>
          <w:szCs w:val="24"/>
          <w:highlight w:val="none"/>
        </w:rPr>
        <w:t>11.1不得转让.</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12.询比信息的发布</w:t>
      </w:r>
    </w:p>
    <w:p>
      <w:pPr>
        <w:spacing w:line="360" w:lineRule="auto"/>
        <w:ind w:firstLine="480" w:firstLineChars="200"/>
        <w:rPr>
          <w:rFonts w:hAnsi="宋体"/>
          <w:color w:val="auto"/>
          <w:szCs w:val="24"/>
          <w:highlight w:val="none"/>
        </w:rPr>
      </w:pPr>
      <w:r>
        <w:rPr>
          <w:rFonts w:hint="eastAsia" w:hAnsi="宋体"/>
          <w:color w:val="auto"/>
          <w:szCs w:val="24"/>
          <w:highlight w:val="none"/>
        </w:rPr>
        <w:t>12.1与本次询比活动相关的信息，将在发布本询比公告的相关网站进行发布。</w:t>
      </w:r>
    </w:p>
    <w:p>
      <w:pPr>
        <w:pStyle w:val="4"/>
        <w:spacing w:before="0" w:after="0" w:line="360" w:lineRule="auto"/>
        <w:ind w:firstLine="482" w:firstLineChars="200"/>
        <w:rPr>
          <w:rFonts w:ascii="宋体" w:hAnsi="宋体" w:eastAsia="宋体"/>
          <w:color w:val="auto"/>
          <w:sz w:val="24"/>
          <w:szCs w:val="24"/>
          <w:highlight w:val="none"/>
        </w:rPr>
      </w:pPr>
      <w:bookmarkStart w:id="71" w:name="_Toc419376297"/>
      <w:bookmarkStart w:id="72" w:name="_Toc13376"/>
      <w:bookmarkStart w:id="73" w:name="_Toc3935"/>
      <w:bookmarkStart w:id="74" w:name="_Toc492637212"/>
      <w:bookmarkStart w:id="75" w:name="_Toc28518"/>
      <w:bookmarkStart w:id="76" w:name="_Toc9733"/>
      <w:bookmarkStart w:id="77" w:name="_Toc12968"/>
      <w:r>
        <w:rPr>
          <w:rFonts w:hint="eastAsia" w:ascii="宋体" w:hAnsi="宋体" w:eastAsia="宋体"/>
          <w:color w:val="auto"/>
          <w:sz w:val="24"/>
          <w:szCs w:val="24"/>
          <w:highlight w:val="none"/>
        </w:rPr>
        <w:t>（二）</w:t>
      </w:r>
      <w:bookmarkEnd w:id="71"/>
      <w:bookmarkEnd w:id="72"/>
      <w:bookmarkEnd w:id="73"/>
      <w:bookmarkEnd w:id="74"/>
      <w:bookmarkEnd w:id="75"/>
      <w:bookmarkEnd w:id="76"/>
      <w:bookmarkStart w:id="78" w:name="_Hlt509649791"/>
      <w:bookmarkEnd w:id="78"/>
      <w:bookmarkStart w:id="79" w:name="_Hlt509650361"/>
      <w:bookmarkEnd w:id="79"/>
      <w:bookmarkStart w:id="80" w:name="_Hlt509649930"/>
      <w:bookmarkEnd w:id="80"/>
      <w:r>
        <w:rPr>
          <w:rFonts w:hint="eastAsia" w:ascii="宋体" w:hAnsi="宋体" w:eastAsia="宋体"/>
          <w:color w:val="auto"/>
          <w:sz w:val="24"/>
          <w:szCs w:val="24"/>
          <w:highlight w:val="none"/>
        </w:rPr>
        <w:t>询比采购文件</w:t>
      </w:r>
      <w:bookmarkEnd w:id="77"/>
    </w:p>
    <w:p>
      <w:pPr>
        <w:spacing w:line="360" w:lineRule="auto"/>
        <w:ind w:firstLine="482" w:firstLineChars="200"/>
        <w:rPr>
          <w:rFonts w:hAnsi="宋体"/>
          <w:b/>
          <w:color w:val="auto"/>
          <w:szCs w:val="24"/>
          <w:highlight w:val="none"/>
        </w:rPr>
      </w:pPr>
      <w:bookmarkStart w:id="81" w:name="_Hlt509650734"/>
      <w:bookmarkEnd w:id="81"/>
      <w:r>
        <w:rPr>
          <w:rFonts w:hint="eastAsia" w:hAnsi="宋体"/>
          <w:b/>
          <w:color w:val="auto"/>
          <w:szCs w:val="24"/>
          <w:highlight w:val="none"/>
        </w:rPr>
        <w:t>13.询比采购文件构成</w:t>
      </w:r>
    </w:p>
    <w:p>
      <w:pPr>
        <w:spacing w:line="360" w:lineRule="auto"/>
        <w:ind w:firstLine="480" w:firstLineChars="200"/>
        <w:rPr>
          <w:rFonts w:hAnsi="宋体"/>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询比采购文件包括以下部分：</w:t>
      </w:r>
    </w:p>
    <w:p>
      <w:pPr>
        <w:spacing w:line="360" w:lineRule="auto"/>
        <w:ind w:firstLine="480" w:firstLineChars="200"/>
        <w:rPr>
          <w:rFonts w:hAnsi="宋体"/>
          <w:bCs/>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.1</w:t>
      </w:r>
      <w:r>
        <w:rPr>
          <w:rFonts w:hint="eastAsia" w:hAnsi="宋体"/>
          <w:bCs/>
          <w:color w:val="auto"/>
          <w:szCs w:val="24"/>
          <w:highlight w:val="none"/>
        </w:rPr>
        <w:t>询比公告；</w:t>
      </w:r>
    </w:p>
    <w:p>
      <w:pPr>
        <w:spacing w:line="360" w:lineRule="auto"/>
        <w:ind w:firstLine="480" w:firstLineChars="200"/>
        <w:rPr>
          <w:rFonts w:hAnsi="宋体"/>
          <w:bCs/>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.2</w:t>
      </w:r>
      <w:r>
        <w:rPr>
          <w:rFonts w:hint="eastAsia" w:hAnsi="宋体"/>
          <w:bCs/>
          <w:color w:val="auto"/>
          <w:szCs w:val="24"/>
          <w:highlight w:val="none"/>
        </w:rPr>
        <w:t>供应商须知前附表；</w:t>
      </w:r>
    </w:p>
    <w:p>
      <w:pPr>
        <w:spacing w:line="360" w:lineRule="auto"/>
        <w:ind w:firstLine="480" w:firstLineChars="200"/>
        <w:rPr>
          <w:rFonts w:hAnsi="宋体"/>
          <w:bCs/>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.3项目</w:t>
      </w:r>
      <w:r>
        <w:rPr>
          <w:rFonts w:hint="eastAsia" w:hAnsi="宋体"/>
          <w:bCs/>
          <w:color w:val="auto"/>
          <w:szCs w:val="24"/>
          <w:highlight w:val="none"/>
        </w:rPr>
        <w:t>需求；</w:t>
      </w:r>
    </w:p>
    <w:p>
      <w:pPr>
        <w:spacing w:line="360" w:lineRule="auto"/>
        <w:ind w:firstLine="480" w:firstLineChars="200"/>
        <w:rPr>
          <w:rFonts w:hAnsi="宋体"/>
          <w:bCs/>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.4供应商须知</w:t>
      </w:r>
      <w:r>
        <w:rPr>
          <w:rFonts w:hint="eastAsia" w:hAnsi="宋体"/>
          <w:bCs/>
          <w:color w:val="auto"/>
          <w:szCs w:val="24"/>
          <w:highlight w:val="none"/>
        </w:rPr>
        <w:t>；</w:t>
      </w:r>
    </w:p>
    <w:p>
      <w:pPr>
        <w:spacing w:line="360" w:lineRule="auto"/>
        <w:ind w:firstLine="480" w:firstLineChars="200"/>
        <w:rPr>
          <w:rFonts w:hAnsi="宋体"/>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.5</w:t>
      </w:r>
      <w:r>
        <w:rPr>
          <w:rFonts w:hint="eastAsia" w:hAnsi="宋体"/>
          <w:bCs/>
          <w:color w:val="auto"/>
          <w:szCs w:val="24"/>
          <w:highlight w:val="none"/>
        </w:rPr>
        <w:t>评审办法；</w:t>
      </w:r>
    </w:p>
    <w:p>
      <w:pPr>
        <w:spacing w:line="360" w:lineRule="auto"/>
        <w:ind w:firstLine="480" w:firstLineChars="200"/>
        <w:rPr>
          <w:rFonts w:hAnsi="宋体"/>
          <w:bCs/>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.6合同条款</w:t>
      </w:r>
      <w:r>
        <w:rPr>
          <w:rFonts w:hint="eastAsia" w:hAnsi="宋体"/>
          <w:bCs/>
          <w:color w:val="auto"/>
          <w:szCs w:val="24"/>
          <w:highlight w:val="none"/>
        </w:rPr>
        <w:t>；</w:t>
      </w:r>
    </w:p>
    <w:p>
      <w:pPr>
        <w:spacing w:line="360" w:lineRule="auto"/>
        <w:ind w:firstLine="480" w:firstLineChars="200"/>
        <w:rPr>
          <w:rFonts w:hAnsi="宋体"/>
          <w:bCs/>
          <w:color w:val="auto"/>
          <w:szCs w:val="24"/>
          <w:highlight w:val="none"/>
        </w:rPr>
      </w:pPr>
      <w:r>
        <w:rPr>
          <w:rFonts w:hint="eastAsia" w:hAnsi="宋体"/>
          <w:color w:val="auto"/>
          <w:szCs w:val="24"/>
          <w:highlight w:val="none"/>
        </w:rPr>
        <w:t>13</w:t>
      </w:r>
      <w:r>
        <w:rPr>
          <w:rFonts w:hAnsi="宋体"/>
          <w:color w:val="auto"/>
          <w:szCs w:val="24"/>
          <w:highlight w:val="none"/>
        </w:rPr>
        <w:t>.1</w:t>
      </w:r>
      <w:r>
        <w:rPr>
          <w:rFonts w:hint="eastAsia" w:hAnsi="宋体"/>
          <w:color w:val="auto"/>
          <w:szCs w:val="24"/>
          <w:highlight w:val="none"/>
        </w:rPr>
        <w:t>.7</w:t>
      </w:r>
      <w:r>
        <w:rPr>
          <w:rFonts w:hint="eastAsia" w:hAnsi="宋体"/>
          <w:bCs/>
          <w:color w:val="auto"/>
          <w:szCs w:val="24"/>
          <w:highlight w:val="none"/>
        </w:rPr>
        <w:t>响应文件格式；</w:t>
      </w:r>
    </w:p>
    <w:p>
      <w:pPr>
        <w:spacing w:line="360" w:lineRule="auto"/>
        <w:ind w:firstLine="480" w:firstLineChars="200"/>
        <w:rPr>
          <w:rFonts w:hAnsi="宋体"/>
          <w:color w:val="auto"/>
          <w:szCs w:val="24"/>
          <w:highlight w:val="none"/>
        </w:rPr>
      </w:pPr>
      <w:r>
        <w:rPr>
          <w:rFonts w:hint="eastAsia" w:hAnsi="宋体"/>
          <w:color w:val="auto"/>
          <w:szCs w:val="24"/>
          <w:highlight w:val="none"/>
        </w:rPr>
        <w:t>13</w:t>
      </w:r>
      <w:r>
        <w:rPr>
          <w:rFonts w:hAnsi="宋体"/>
          <w:color w:val="auto"/>
          <w:szCs w:val="24"/>
          <w:highlight w:val="none"/>
        </w:rPr>
        <w:t>.</w:t>
      </w:r>
      <w:r>
        <w:rPr>
          <w:rFonts w:hint="eastAsia" w:hAnsi="宋体"/>
          <w:color w:val="auto"/>
          <w:szCs w:val="24"/>
          <w:highlight w:val="none"/>
        </w:rPr>
        <w:t>2供应商应认真阅读询比采购文件中所有的事项、格式、条件、条款和规范等要求。</w:t>
      </w:r>
    </w:p>
    <w:p>
      <w:pPr>
        <w:spacing w:line="360" w:lineRule="auto"/>
        <w:ind w:firstLine="480" w:firstLineChars="200"/>
        <w:rPr>
          <w:rFonts w:hAnsi="宋体"/>
          <w:color w:val="auto"/>
          <w:szCs w:val="24"/>
          <w:highlight w:val="none"/>
        </w:rPr>
      </w:pPr>
      <w:r>
        <w:rPr>
          <w:rFonts w:hint="eastAsia" w:hAnsi="宋体"/>
          <w:color w:val="auto"/>
          <w:szCs w:val="24"/>
          <w:highlight w:val="none"/>
        </w:rPr>
        <w:t>13.3供应商应当按照询比采购文件的要求编制响应文件，响应文件应对询比采购文件提出的要求和条件作出实质性响应。</w:t>
      </w:r>
    </w:p>
    <w:p>
      <w:pPr>
        <w:spacing w:line="360" w:lineRule="auto"/>
        <w:ind w:firstLine="480" w:firstLineChars="200"/>
        <w:rPr>
          <w:rFonts w:hAnsi="宋体"/>
          <w:color w:val="auto"/>
          <w:szCs w:val="24"/>
          <w:highlight w:val="none"/>
        </w:rPr>
      </w:pPr>
      <w:r>
        <w:rPr>
          <w:rFonts w:hint="eastAsia" w:hAnsi="宋体"/>
          <w:color w:val="auto"/>
          <w:szCs w:val="24"/>
          <w:highlight w:val="none"/>
        </w:rPr>
        <w:t>13.4供应商获取询比采购文件后，应仔细检查询比采购文件的所有内容，如有残缺等问题应自获得询比采购文件后于答疑截止时间前向</w:t>
      </w:r>
      <w:r>
        <w:rPr>
          <w:rFonts w:hint="eastAsia" w:hAnsi="宋体"/>
          <w:bCs/>
          <w:color w:val="auto"/>
          <w:szCs w:val="24"/>
          <w:highlight w:val="none"/>
        </w:rPr>
        <w:t>安徽安兆工程技术咨询服务有限公司</w:t>
      </w:r>
      <w:r>
        <w:rPr>
          <w:rFonts w:hint="eastAsia" w:hAnsi="宋体"/>
          <w:color w:val="auto"/>
          <w:szCs w:val="24"/>
          <w:highlight w:val="none"/>
        </w:rPr>
        <w:t>提出，否则由此引起的损失由供应商自行承担。</w:t>
      </w:r>
    </w:p>
    <w:p>
      <w:pPr>
        <w:spacing w:line="360" w:lineRule="auto"/>
        <w:ind w:firstLine="482" w:firstLineChars="200"/>
        <w:rPr>
          <w:rFonts w:hAnsi="宋体"/>
          <w:b/>
          <w:color w:val="auto"/>
          <w:szCs w:val="24"/>
          <w:highlight w:val="none"/>
        </w:rPr>
      </w:pPr>
      <w:r>
        <w:rPr>
          <w:rFonts w:hint="eastAsia" w:hAnsi="宋体"/>
          <w:b/>
          <w:color w:val="auto"/>
          <w:szCs w:val="24"/>
          <w:highlight w:val="none"/>
        </w:rPr>
        <w:t>14.答疑及询比采购文件的澄清与修改</w:t>
      </w:r>
    </w:p>
    <w:p>
      <w:pPr>
        <w:spacing w:line="360" w:lineRule="auto"/>
        <w:ind w:firstLine="480" w:firstLineChars="200"/>
        <w:rPr>
          <w:rFonts w:hAnsi="宋体"/>
          <w:color w:val="auto"/>
          <w:szCs w:val="24"/>
          <w:highlight w:val="none"/>
        </w:rPr>
      </w:pPr>
      <w:r>
        <w:rPr>
          <w:rFonts w:hint="eastAsia" w:hAnsi="宋体"/>
          <w:color w:val="auto"/>
          <w:szCs w:val="24"/>
          <w:highlight w:val="none"/>
        </w:rPr>
        <w:t>14</w:t>
      </w:r>
      <w:r>
        <w:rPr>
          <w:rFonts w:hAnsi="宋体"/>
          <w:color w:val="auto"/>
          <w:szCs w:val="24"/>
          <w:highlight w:val="none"/>
        </w:rPr>
        <w:t>.</w:t>
      </w:r>
      <w:r>
        <w:rPr>
          <w:rFonts w:hint="eastAsia" w:hAnsi="宋体"/>
          <w:color w:val="auto"/>
          <w:szCs w:val="24"/>
          <w:highlight w:val="none"/>
        </w:rPr>
        <w:t>1供应商如果对询比采购文件、控制价等内容有相关疑问，可以于供应商须知前附表列明的答疑接受时间前，以书面形式向</w:t>
      </w:r>
      <w:r>
        <w:rPr>
          <w:rFonts w:hint="eastAsia" w:hAnsi="宋体"/>
          <w:bCs/>
          <w:color w:val="auto"/>
          <w:szCs w:val="24"/>
          <w:highlight w:val="none"/>
        </w:rPr>
        <w:t>安徽安兆工程技术咨询服务有限公司</w:t>
      </w:r>
      <w:r>
        <w:rPr>
          <w:rFonts w:hint="eastAsia" w:hAnsi="宋体"/>
          <w:color w:val="auto"/>
          <w:szCs w:val="24"/>
          <w:highlight w:val="none"/>
        </w:rPr>
        <w:t>提出。</w:t>
      </w:r>
    </w:p>
    <w:p>
      <w:pPr>
        <w:spacing w:line="360" w:lineRule="auto"/>
        <w:ind w:firstLine="480" w:firstLineChars="200"/>
        <w:rPr>
          <w:rFonts w:hAnsi="宋体"/>
          <w:color w:val="auto"/>
          <w:szCs w:val="24"/>
          <w:highlight w:val="none"/>
        </w:rPr>
      </w:pPr>
      <w:r>
        <w:rPr>
          <w:rFonts w:hint="eastAsia" w:hAnsi="宋体"/>
          <w:color w:val="auto"/>
          <w:szCs w:val="24"/>
          <w:highlight w:val="none"/>
        </w:rPr>
        <w:t>14.1.1除非询比采购文件明确约定，否则，如询比采购文件存在不一致时，优先顺序如下：（1）询比公告；（2）供应商须知前附表；（3）项目需求；（4）评审办法；（5）其他。</w:t>
      </w:r>
    </w:p>
    <w:p>
      <w:pPr>
        <w:spacing w:line="360" w:lineRule="auto"/>
        <w:ind w:firstLine="480" w:firstLineChars="200"/>
        <w:rPr>
          <w:rFonts w:hAnsi="宋体"/>
          <w:color w:val="auto"/>
          <w:szCs w:val="24"/>
          <w:highlight w:val="none"/>
        </w:rPr>
      </w:pPr>
      <w:r>
        <w:rPr>
          <w:rFonts w:hint="eastAsia" w:hAnsi="宋体"/>
          <w:color w:val="auto"/>
          <w:szCs w:val="24"/>
          <w:highlight w:val="none"/>
        </w:rPr>
        <w:t>14.1.2除非询比采购文件明确约定，否则，如询比采购文件中存在不一致时，以要求严格或质量等级高的为准。</w:t>
      </w:r>
    </w:p>
    <w:p>
      <w:pPr>
        <w:spacing w:line="360" w:lineRule="auto"/>
        <w:ind w:firstLine="480" w:firstLineChars="200"/>
        <w:rPr>
          <w:rFonts w:hAnsi="宋体"/>
          <w:color w:val="auto"/>
          <w:szCs w:val="24"/>
          <w:highlight w:val="none"/>
        </w:rPr>
      </w:pPr>
      <w:r>
        <w:rPr>
          <w:rFonts w:hint="eastAsia" w:hAnsi="宋体"/>
          <w:color w:val="auto"/>
          <w:szCs w:val="24"/>
          <w:highlight w:val="none"/>
        </w:rPr>
        <w:t>14.3</w:t>
      </w:r>
      <w:r>
        <w:rPr>
          <w:rFonts w:hint="eastAsia" w:hAnsi="宋体"/>
          <w:bCs/>
          <w:color w:val="auto"/>
          <w:szCs w:val="24"/>
          <w:highlight w:val="none"/>
        </w:rPr>
        <w:t>采购人</w:t>
      </w:r>
      <w:r>
        <w:rPr>
          <w:rFonts w:hint="eastAsia" w:hAnsi="宋体"/>
          <w:color w:val="auto"/>
          <w:szCs w:val="24"/>
          <w:highlight w:val="none"/>
        </w:rPr>
        <w:t>对询比采购文件进行的答疑、澄清、变更或补充，将在网站上及时发布，该公告内容为询比采购文件的组成部分，对供应商具有同样约束力。当询比采购文件、答疑、澄清、变更或补充等在同一内容的表述上不一致时，以最后发出的书面文件为准。</w:t>
      </w:r>
    </w:p>
    <w:p>
      <w:pPr>
        <w:spacing w:line="360" w:lineRule="auto"/>
        <w:ind w:firstLine="480" w:firstLineChars="200"/>
        <w:rPr>
          <w:rFonts w:hAnsi="宋体"/>
          <w:color w:val="auto"/>
          <w:szCs w:val="24"/>
          <w:highlight w:val="none"/>
        </w:rPr>
      </w:pPr>
      <w:r>
        <w:rPr>
          <w:rFonts w:hint="eastAsia" w:hAnsi="宋体"/>
          <w:color w:val="auto"/>
          <w:szCs w:val="24"/>
          <w:highlight w:val="none"/>
        </w:rPr>
        <w:t>14.4在询比截止时间前，</w:t>
      </w:r>
      <w:r>
        <w:rPr>
          <w:rFonts w:hint="eastAsia" w:hAnsi="宋体"/>
          <w:bCs/>
          <w:color w:val="auto"/>
          <w:szCs w:val="24"/>
          <w:highlight w:val="none"/>
        </w:rPr>
        <w:t>安徽安兆工程技术咨询服务有限公司</w:t>
      </w:r>
      <w:r>
        <w:rPr>
          <w:rFonts w:hint="eastAsia" w:hAnsi="宋体"/>
          <w:color w:val="auto"/>
          <w:szCs w:val="24"/>
          <w:highlight w:val="none"/>
        </w:rPr>
        <w:t>可以视询比具体情况，延长询比截止时间和询比时间，并在询比采购文件要求提交响应文件的截止时间三日前，在网站上发布变更公告。在上述情况下，</w:t>
      </w:r>
      <w:r>
        <w:rPr>
          <w:rFonts w:hint="eastAsia" w:hAnsi="宋体"/>
          <w:bCs/>
          <w:color w:val="auto"/>
          <w:szCs w:val="24"/>
          <w:highlight w:val="none"/>
        </w:rPr>
        <w:t>采购人</w:t>
      </w:r>
      <w:r>
        <w:rPr>
          <w:rFonts w:hint="eastAsia" w:hAnsi="宋体"/>
          <w:color w:val="auto"/>
          <w:szCs w:val="24"/>
          <w:highlight w:val="none"/>
        </w:rPr>
        <w:t>和供应商在询比截止期方面的全部权力、责任和义务，将适用于延长后新的询比截止期。</w:t>
      </w:r>
    </w:p>
    <w:p>
      <w:pPr>
        <w:spacing w:line="360" w:lineRule="auto"/>
        <w:ind w:firstLine="480" w:firstLineChars="200"/>
        <w:rPr>
          <w:rFonts w:hAnsi="宋体"/>
          <w:color w:val="auto"/>
          <w:szCs w:val="27"/>
          <w:highlight w:val="none"/>
        </w:rPr>
      </w:pPr>
      <w:r>
        <w:rPr>
          <w:rFonts w:hint="eastAsia" w:hAnsi="宋体"/>
          <w:color w:val="auto"/>
          <w:szCs w:val="24"/>
          <w:highlight w:val="none"/>
        </w:rPr>
        <w:t>14.5</w:t>
      </w:r>
      <w:r>
        <w:rPr>
          <w:rFonts w:hint="eastAsia" w:hAnsi="宋体"/>
          <w:color w:val="auto"/>
          <w:highlight w:val="none"/>
        </w:rPr>
        <w:t>安徽安兆工程技术咨询服务有限公司发布澄清、更正或更改公告，</w:t>
      </w:r>
      <w:r>
        <w:rPr>
          <w:rFonts w:hAnsi="宋体"/>
          <w:color w:val="auto"/>
          <w:highlight w:val="none"/>
        </w:rPr>
        <w:t>澄清或修改的内容不影响响应文件编制的</w:t>
      </w:r>
      <w:r>
        <w:rPr>
          <w:rFonts w:hint="eastAsia" w:hAnsi="宋体"/>
          <w:color w:val="auto"/>
          <w:highlight w:val="none"/>
        </w:rPr>
        <w:t>，</w:t>
      </w:r>
      <w:r>
        <w:rPr>
          <w:rFonts w:hint="eastAsia" w:hAnsi="宋体"/>
          <w:color w:val="auto"/>
          <w:szCs w:val="24"/>
          <w:highlight w:val="none"/>
        </w:rPr>
        <w:t>可不改变询比截止时间和询比时间。</w:t>
      </w:r>
      <w:bookmarkStart w:id="82" w:name="_Toc419376298"/>
      <w:bookmarkStart w:id="83" w:name="_Toc492637213"/>
    </w:p>
    <w:p>
      <w:pPr>
        <w:pStyle w:val="4"/>
        <w:spacing w:before="0" w:after="0" w:line="360" w:lineRule="auto"/>
        <w:ind w:firstLine="482" w:firstLineChars="200"/>
        <w:rPr>
          <w:rFonts w:ascii="宋体" w:hAnsi="宋体" w:eastAsia="宋体"/>
          <w:color w:val="auto"/>
          <w:sz w:val="24"/>
          <w:szCs w:val="24"/>
          <w:highlight w:val="none"/>
        </w:rPr>
      </w:pPr>
      <w:bookmarkStart w:id="84" w:name="_Toc27163"/>
      <w:bookmarkStart w:id="85" w:name="_Toc29973"/>
      <w:bookmarkStart w:id="86" w:name="_Toc16268"/>
      <w:bookmarkStart w:id="87" w:name="_Toc5857"/>
      <w:bookmarkStart w:id="88" w:name="_Toc2149"/>
      <w:r>
        <w:rPr>
          <w:rFonts w:hint="eastAsia" w:ascii="宋体" w:hAnsi="宋体" w:eastAsia="宋体"/>
          <w:color w:val="auto"/>
          <w:sz w:val="24"/>
          <w:szCs w:val="24"/>
          <w:highlight w:val="none"/>
        </w:rPr>
        <w:t>（三）响应文件的编制</w:t>
      </w:r>
      <w:bookmarkEnd w:id="82"/>
      <w:bookmarkEnd w:id="83"/>
      <w:bookmarkEnd w:id="84"/>
      <w:bookmarkEnd w:id="85"/>
      <w:bookmarkEnd w:id="86"/>
      <w:bookmarkEnd w:id="87"/>
      <w:bookmarkEnd w:id="88"/>
    </w:p>
    <w:p>
      <w:pPr>
        <w:spacing w:line="360" w:lineRule="auto"/>
        <w:ind w:firstLine="482" w:firstLineChars="200"/>
        <w:rPr>
          <w:rFonts w:hAnsi="宋体"/>
          <w:b/>
          <w:color w:val="auto"/>
          <w:szCs w:val="24"/>
          <w:highlight w:val="none"/>
        </w:rPr>
      </w:pPr>
      <w:r>
        <w:rPr>
          <w:rFonts w:hint="eastAsia" w:hAnsi="宋体"/>
          <w:b/>
          <w:color w:val="auto"/>
          <w:szCs w:val="24"/>
          <w:highlight w:val="none"/>
        </w:rPr>
        <w:t>15.响应文件构成与格式</w:t>
      </w:r>
    </w:p>
    <w:p>
      <w:pPr>
        <w:spacing w:line="360" w:lineRule="auto"/>
        <w:ind w:firstLine="480" w:firstLineChars="200"/>
        <w:rPr>
          <w:rFonts w:hAnsi="宋体"/>
          <w:color w:val="auto"/>
          <w:szCs w:val="24"/>
          <w:highlight w:val="none"/>
        </w:rPr>
      </w:pPr>
      <w:bookmarkStart w:id="89" w:name="_Hlt509650345"/>
      <w:bookmarkEnd w:id="89"/>
      <w:r>
        <w:rPr>
          <w:rFonts w:hint="eastAsia" w:hAnsi="宋体"/>
          <w:color w:val="auto"/>
          <w:szCs w:val="24"/>
          <w:highlight w:val="none"/>
        </w:rPr>
        <w:t>15.1响应文件是对询比采购文件的实质性响应及承诺文件。</w:t>
      </w:r>
    </w:p>
    <w:p>
      <w:pPr>
        <w:spacing w:line="360" w:lineRule="auto"/>
        <w:ind w:firstLine="480" w:firstLineChars="200"/>
        <w:jc w:val="left"/>
        <w:rPr>
          <w:rFonts w:hAnsi="宋体"/>
          <w:color w:val="auto"/>
          <w:szCs w:val="24"/>
          <w:highlight w:val="none"/>
        </w:rPr>
      </w:pPr>
      <w:r>
        <w:rPr>
          <w:rFonts w:hint="eastAsia" w:hAnsi="宋体"/>
          <w:color w:val="auto"/>
          <w:szCs w:val="24"/>
          <w:highlight w:val="none"/>
        </w:rPr>
        <w:t>15.2</w:t>
      </w:r>
      <w:r>
        <w:rPr>
          <w:rFonts w:hint="eastAsia" w:hAnsi="宋体"/>
          <w:bCs/>
          <w:color w:val="auto"/>
          <w:szCs w:val="24"/>
          <w:highlight w:val="none"/>
        </w:rPr>
        <w:t>除非注明“供应商可自行制作格式”，响应文件应使用询比采购文件提供的格式。</w:t>
      </w:r>
    </w:p>
    <w:p>
      <w:pPr>
        <w:spacing w:line="360" w:lineRule="auto"/>
        <w:ind w:firstLine="480" w:firstLineChars="200"/>
        <w:rPr>
          <w:rFonts w:hAnsi="宋体"/>
          <w:color w:val="auto"/>
          <w:szCs w:val="24"/>
          <w:highlight w:val="none"/>
        </w:rPr>
      </w:pPr>
      <w:r>
        <w:rPr>
          <w:rFonts w:hint="eastAsia" w:hAnsi="宋体"/>
          <w:bCs/>
          <w:color w:val="auto"/>
          <w:szCs w:val="24"/>
          <w:highlight w:val="none"/>
        </w:rPr>
        <w:t>15.3除专用术语外，响应文件以及供应商与采购人就有关询比的往来函电均应使用中文。供应商提交的支持性文件和印制的文件可以用另一种语言，但相应内容应翻译成中文，对不同文字文本响应文件的解释发生异议的，以中文文本为准。</w:t>
      </w:r>
    </w:p>
    <w:p>
      <w:pPr>
        <w:spacing w:line="360" w:lineRule="auto"/>
        <w:ind w:firstLine="480" w:firstLineChars="200"/>
        <w:rPr>
          <w:rFonts w:hAnsi="宋体"/>
          <w:color w:val="auto"/>
          <w:szCs w:val="24"/>
          <w:highlight w:val="none"/>
        </w:rPr>
      </w:pPr>
      <w:r>
        <w:rPr>
          <w:rFonts w:hint="eastAsia" w:hAnsi="宋体"/>
          <w:color w:val="auto"/>
          <w:szCs w:val="24"/>
          <w:highlight w:val="none"/>
        </w:rPr>
        <w:t>15.4除非询比采购文件另有规定，响应文件应使用中华人民共和国法定计量单位。</w:t>
      </w:r>
    </w:p>
    <w:p>
      <w:pPr>
        <w:spacing w:line="360" w:lineRule="auto"/>
        <w:ind w:firstLine="480" w:firstLineChars="200"/>
        <w:rPr>
          <w:rFonts w:hAnsi="宋体"/>
          <w:color w:val="auto"/>
          <w:szCs w:val="24"/>
          <w:highlight w:val="none"/>
        </w:rPr>
      </w:pPr>
      <w:r>
        <w:rPr>
          <w:rFonts w:hint="eastAsia" w:hAnsi="宋体"/>
          <w:color w:val="auto"/>
          <w:szCs w:val="24"/>
          <w:highlight w:val="none"/>
        </w:rPr>
        <w:t>15.5除非询比采购文件另有规定，响应文件应使用人民币填报所有报价。允许以多种货币报价的，或涉及合同金额等计算的，均按照中国人民银行在询比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pPr>
        <w:spacing w:line="360" w:lineRule="auto"/>
        <w:ind w:firstLine="480" w:firstLineChars="200"/>
        <w:rPr>
          <w:rFonts w:hAnsi="宋体"/>
          <w:color w:val="auto"/>
          <w:szCs w:val="24"/>
          <w:highlight w:val="none"/>
        </w:rPr>
      </w:pPr>
      <w:r>
        <w:rPr>
          <w:rFonts w:hint="eastAsia" w:hAnsi="宋体"/>
          <w:color w:val="auto"/>
          <w:szCs w:val="24"/>
          <w:highlight w:val="none"/>
        </w:rPr>
        <w:t>15.6供应商资质证书（或资格证明）处于年检、换证、升级、变更等期间，除非法律法规或发证机构有书面材料明确表明供应商资质（或资格)有效，否则一律不予认可。</w:t>
      </w:r>
    </w:p>
    <w:p>
      <w:pPr>
        <w:spacing w:line="360" w:lineRule="auto"/>
        <w:ind w:firstLine="480" w:firstLineChars="200"/>
        <w:rPr>
          <w:rFonts w:hAnsi="宋体"/>
          <w:color w:val="auto"/>
          <w:szCs w:val="24"/>
          <w:highlight w:val="none"/>
        </w:rPr>
      </w:pPr>
      <w:r>
        <w:rPr>
          <w:rFonts w:hint="eastAsia" w:hAnsi="宋体"/>
          <w:color w:val="auto"/>
          <w:szCs w:val="24"/>
          <w:highlight w:val="none"/>
        </w:rPr>
        <w:t>15.7电报、电话、传真形式的询比概不接受。</w:t>
      </w:r>
    </w:p>
    <w:p>
      <w:pPr>
        <w:spacing w:line="360" w:lineRule="auto"/>
        <w:ind w:firstLine="480" w:firstLineChars="200"/>
        <w:rPr>
          <w:rFonts w:hAnsi="宋体"/>
          <w:color w:val="auto"/>
          <w:szCs w:val="24"/>
          <w:highlight w:val="none"/>
        </w:rPr>
      </w:pPr>
      <w:r>
        <w:rPr>
          <w:rFonts w:hint="eastAsia" w:hAnsi="宋体"/>
          <w:color w:val="auto"/>
          <w:szCs w:val="24"/>
          <w:highlight w:val="none"/>
        </w:rPr>
        <w:t>15.8除非询比采购文件另有规定，</w:t>
      </w:r>
      <w:r>
        <w:rPr>
          <w:rFonts w:hint="eastAsia" w:hAnsi="宋体"/>
          <w:bCs/>
          <w:color w:val="auto"/>
          <w:szCs w:val="24"/>
          <w:highlight w:val="none"/>
        </w:rPr>
        <w:t>代理机构</w:t>
      </w:r>
      <w:r>
        <w:rPr>
          <w:rFonts w:hint="eastAsia" w:hAnsi="宋体"/>
          <w:color w:val="auto"/>
          <w:szCs w:val="24"/>
          <w:highlight w:val="none"/>
        </w:rPr>
        <w:t>一律不予退还供应商的响应文件。</w:t>
      </w:r>
    </w:p>
    <w:p>
      <w:pPr>
        <w:spacing w:line="360" w:lineRule="auto"/>
        <w:ind w:firstLine="482" w:firstLineChars="200"/>
        <w:rPr>
          <w:rFonts w:hAnsi="宋体"/>
          <w:color w:val="auto"/>
          <w:szCs w:val="24"/>
          <w:highlight w:val="none"/>
        </w:rPr>
      </w:pPr>
      <w:r>
        <w:rPr>
          <w:rFonts w:hint="eastAsia" w:hAnsi="宋体"/>
          <w:b/>
          <w:color w:val="auto"/>
          <w:szCs w:val="24"/>
          <w:highlight w:val="none"/>
        </w:rPr>
        <w:t>16.报价</w:t>
      </w:r>
    </w:p>
    <w:p>
      <w:pPr>
        <w:spacing w:line="360" w:lineRule="auto"/>
        <w:ind w:firstLine="480" w:firstLineChars="200"/>
        <w:rPr>
          <w:rFonts w:hAnsi="宋体"/>
          <w:color w:val="auto"/>
          <w:szCs w:val="24"/>
          <w:highlight w:val="none"/>
        </w:rPr>
      </w:pPr>
      <w:r>
        <w:rPr>
          <w:rFonts w:hint="eastAsia" w:hAnsi="宋体"/>
          <w:color w:val="auto"/>
          <w:szCs w:val="24"/>
          <w:highlight w:val="none"/>
        </w:rPr>
        <w:t>16.1供应商的报价应包含完成本项目所有内容所包含的人工工资（含社会保险、住房公积金等）、加班费、管理费、税金等一切应有费用。询比报价为签订合同的依据。</w:t>
      </w:r>
    </w:p>
    <w:p>
      <w:pPr>
        <w:spacing w:line="360" w:lineRule="auto"/>
        <w:ind w:firstLine="480" w:firstLineChars="200"/>
        <w:rPr>
          <w:rFonts w:hAnsi="宋体"/>
          <w:bCs/>
          <w:color w:val="auto"/>
          <w:szCs w:val="24"/>
          <w:highlight w:val="none"/>
        </w:rPr>
      </w:pPr>
      <w:r>
        <w:rPr>
          <w:rFonts w:hint="eastAsia" w:hAnsi="宋体"/>
          <w:color w:val="auto"/>
          <w:szCs w:val="24"/>
          <w:highlight w:val="none"/>
        </w:rPr>
        <w:t>16.2</w:t>
      </w:r>
      <w:r>
        <w:rPr>
          <w:rFonts w:hint="eastAsia" w:hAnsi="宋体"/>
          <w:bCs/>
          <w:color w:val="auto"/>
          <w:szCs w:val="24"/>
          <w:highlight w:val="none"/>
        </w:rPr>
        <w:t>除非询比采购文件另有规定或经采购人同意支付的，否则预成交供应商的最终报价不得高于本项目的最高限价。各供应商最终询比报价不得超过本项目控制价（如有）。</w:t>
      </w:r>
    </w:p>
    <w:p>
      <w:pPr>
        <w:spacing w:line="360" w:lineRule="auto"/>
        <w:ind w:firstLine="480" w:firstLineChars="200"/>
        <w:rPr>
          <w:rFonts w:hAnsi="宋体"/>
          <w:color w:val="auto"/>
          <w:szCs w:val="24"/>
          <w:highlight w:val="none"/>
        </w:rPr>
      </w:pPr>
      <w:r>
        <w:rPr>
          <w:rFonts w:hint="eastAsia" w:hAnsi="宋体"/>
          <w:color w:val="auto"/>
          <w:szCs w:val="24"/>
          <w:highlight w:val="none"/>
        </w:rPr>
        <w:t>16.3供应商按询比采购文件要求在响应文件中注明拟提供清单各子项的单价明细和总价。</w:t>
      </w:r>
    </w:p>
    <w:p>
      <w:pPr>
        <w:spacing w:line="360" w:lineRule="auto"/>
        <w:ind w:firstLine="480" w:firstLineChars="200"/>
        <w:rPr>
          <w:rFonts w:hAnsi="宋体"/>
          <w:color w:val="auto"/>
          <w:szCs w:val="24"/>
          <w:highlight w:val="none"/>
        </w:rPr>
      </w:pPr>
      <w:r>
        <w:rPr>
          <w:rFonts w:hint="eastAsia" w:hAnsi="宋体"/>
          <w:color w:val="auto"/>
          <w:szCs w:val="24"/>
          <w:highlight w:val="none"/>
        </w:rPr>
        <w:t>16.4除非询比采购文件另有规定，本项目只允许有一个最终报价，任何有选择的报价或替代方案将导致询比无效。</w:t>
      </w:r>
    </w:p>
    <w:p>
      <w:pPr>
        <w:spacing w:line="360" w:lineRule="auto"/>
        <w:ind w:firstLine="480" w:firstLineChars="200"/>
        <w:rPr>
          <w:rFonts w:hAnsi="宋体"/>
          <w:color w:val="auto"/>
          <w:szCs w:val="24"/>
          <w:highlight w:val="none"/>
        </w:rPr>
      </w:pPr>
      <w:r>
        <w:rPr>
          <w:rFonts w:hint="eastAsia" w:hAnsi="宋体"/>
          <w:color w:val="auto"/>
          <w:szCs w:val="24"/>
          <w:highlight w:val="none"/>
        </w:rPr>
        <w:t>16.5采购人不建议供应商采用总价百分比优惠的方式进行询比报价。</w:t>
      </w:r>
    </w:p>
    <w:p>
      <w:pPr>
        <w:spacing w:line="360" w:lineRule="auto"/>
        <w:ind w:firstLine="480" w:firstLineChars="200"/>
        <w:rPr>
          <w:rFonts w:hAnsi="宋体"/>
          <w:color w:val="auto"/>
          <w:szCs w:val="24"/>
          <w:highlight w:val="none"/>
        </w:rPr>
      </w:pPr>
      <w:r>
        <w:rPr>
          <w:rFonts w:hint="eastAsia" w:hAnsi="宋体"/>
          <w:color w:val="auto"/>
          <w:szCs w:val="24"/>
          <w:highlight w:val="none"/>
        </w:rPr>
        <w:t>16.6除国家政策性文件规定以外，供应商所报价格在合同实施期间不因市场变化因素而变动。</w:t>
      </w:r>
    </w:p>
    <w:p>
      <w:pPr>
        <w:spacing w:line="360" w:lineRule="auto"/>
        <w:ind w:firstLine="480" w:firstLineChars="200"/>
        <w:rPr>
          <w:rFonts w:hAnsi="宋体"/>
          <w:color w:val="auto"/>
          <w:szCs w:val="24"/>
          <w:highlight w:val="none"/>
        </w:rPr>
      </w:pPr>
      <w:r>
        <w:rPr>
          <w:rFonts w:hint="eastAsia" w:hAnsi="宋体"/>
          <w:color w:val="auto"/>
          <w:szCs w:val="24"/>
          <w:highlight w:val="none"/>
        </w:rPr>
        <w:t>16.7供应商应当按照人员工资水平，根据自身实力、管理经验、现场环境以及询比采购文件的要求，自主报价。</w:t>
      </w:r>
    </w:p>
    <w:p>
      <w:pPr>
        <w:spacing w:line="360" w:lineRule="auto"/>
        <w:ind w:firstLine="480" w:firstLineChars="200"/>
        <w:rPr>
          <w:rFonts w:hAnsi="宋体"/>
          <w:color w:val="auto"/>
          <w:szCs w:val="24"/>
          <w:highlight w:val="none"/>
        </w:rPr>
      </w:pPr>
      <w:r>
        <w:rPr>
          <w:rFonts w:hint="eastAsia" w:hAnsi="宋体"/>
          <w:color w:val="auto"/>
          <w:szCs w:val="24"/>
          <w:highlight w:val="none"/>
        </w:rPr>
        <w:t>16.8除非采购人对询比采购文件予以修改、更正，否则供应商应按采购人提供的报价清单逐项填报单价和合价。</w:t>
      </w:r>
    </w:p>
    <w:p>
      <w:pPr>
        <w:spacing w:line="360" w:lineRule="auto"/>
        <w:ind w:firstLine="480" w:firstLineChars="200"/>
        <w:rPr>
          <w:rFonts w:hAnsi="宋体"/>
          <w:color w:val="auto"/>
          <w:szCs w:val="24"/>
          <w:highlight w:val="none"/>
        </w:rPr>
      </w:pPr>
      <w:r>
        <w:rPr>
          <w:rFonts w:hint="eastAsia" w:hAnsi="宋体"/>
          <w:color w:val="auto"/>
          <w:szCs w:val="24"/>
          <w:highlight w:val="none"/>
        </w:rPr>
        <w:t>16.9供应商未填单价或合价的清单项目，将被视为该项费用已包括在其他有价款的单价或合价以及询比总价内，采购人将不再另行支付。</w:t>
      </w:r>
    </w:p>
    <w:p>
      <w:pPr>
        <w:spacing w:line="360" w:lineRule="auto"/>
        <w:ind w:firstLine="480" w:firstLineChars="200"/>
        <w:rPr>
          <w:rFonts w:hAnsi="宋体"/>
          <w:color w:val="auto"/>
          <w:szCs w:val="24"/>
          <w:highlight w:val="none"/>
        </w:rPr>
      </w:pPr>
      <w:r>
        <w:rPr>
          <w:rFonts w:hint="eastAsia" w:hAnsi="宋体"/>
          <w:color w:val="auto"/>
          <w:szCs w:val="24"/>
          <w:highlight w:val="none"/>
        </w:rPr>
        <w:t>16.10本项目不接受恶意不平衡报价，不保证最低价成交。</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17.询比内容填写及说明</w:t>
      </w:r>
    </w:p>
    <w:p>
      <w:pPr>
        <w:spacing w:line="360" w:lineRule="auto"/>
        <w:ind w:firstLine="480" w:firstLineChars="200"/>
        <w:rPr>
          <w:rFonts w:hAnsi="宋体"/>
          <w:color w:val="auto"/>
          <w:szCs w:val="24"/>
          <w:highlight w:val="none"/>
          <w:u w:val="single"/>
        </w:rPr>
      </w:pPr>
      <w:r>
        <w:rPr>
          <w:rFonts w:hint="eastAsia" w:hAnsi="宋体"/>
          <w:color w:val="auto"/>
          <w:szCs w:val="24"/>
          <w:highlight w:val="none"/>
        </w:rPr>
        <w:t>17.1响应文件须对询比采购文件载明的询比资格、技术、资信、服务、报价等全部要求和条件做出实质性和完整的响应，如果响应文件填报的内容资料不详，或没有提供询比采购文件中所要求的全部资料、证明及数据，将可能导致询比无效。</w:t>
      </w:r>
    </w:p>
    <w:p>
      <w:pPr>
        <w:spacing w:line="360" w:lineRule="auto"/>
        <w:ind w:firstLine="480" w:firstLineChars="200"/>
        <w:rPr>
          <w:rFonts w:hAnsi="宋体"/>
          <w:color w:val="auto"/>
          <w:szCs w:val="24"/>
          <w:highlight w:val="none"/>
        </w:rPr>
      </w:pPr>
      <w:r>
        <w:rPr>
          <w:rFonts w:hint="eastAsia" w:hAnsi="宋体"/>
          <w:color w:val="auto"/>
          <w:szCs w:val="24"/>
          <w:highlight w:val="none"/>
        </w:rPr>
        <w:t>17.2供应商应在响应文件中提交询比采购文件要求的有关证明文件，作为其响应文件的一部分。</w:t>
      </w:r>
    </w:p>
    <w:p>
      <w:pPr>
        <w:spacing w:line="360" w:lineRule="auto"/>
        <w:ind w:firstLine="480" w:firstLineChars="200"/>
        <w:rPr>
          <w:rFonts w:hAnsi="宋体"/>
          <w:color w:val="auto"/>
          <w:szCs w:val="24"/>
          <w:highlight w:val="none"/>
        </w:rPr>
      </w:pPr>
      <w:r>
        <w:rPr>
          <w:rFonts w:hint="eastAsia" w:hAnsi="宋体"/>
          <w:color w:val="auto"/>
          <w:szCs w:val="24"/>
          <w:highlight w:val="none"/>
        </w:rPr>
        <w:t>17</w:t>
      </w:r>
      <w:r>
        <w:rPr>
          <w:rFonts w:hAnsi="宋体"/>
          <w:color w:val="auto"/>
          <w:szCs w:val="24"/>
          <w:highlight w:val="none"/>
        </w:rPr>
        <w:t>.</w:t>
      </w:r>
      <w:r>
        <w:rPr>
          <w:rFonts w:hint="eastAsia" w:hAnsi="宋体"/>
          <w:color w:val="auto"/>
          <w:szCs w:val="24"/>
          <w:highlight w:val="none"/>
        </w:rPr>
        <w:t>3供应商应在响应文件中提交询比采购文件要求的所有货物的合格性以及符合询比采购文件规定的证明文件等，并作为其响应文件的一部分。</w:t>
      </w:r>
    </w:p>
    <w:p>
      <w:pPr>
        <w:spacing w:line="360" w:lineRule="auto"/>
        <w:ind w:firstLine="480" w:firstLineChars="200"/>
        <w:rPr>
          <w:rFonts w:hAnsi="宋体"/>
          <w:color w:val="auto"/>
          <w:szCs w:val="24"/>
          <w:highlight w:val="none"/>
        </w:rPr>
      </w:pPr>
      <w:r>
        <w:rPr>
          <w:rFonts w:hAnsi="宋体"/>
          <w:color w:val="auto"/>
          <w:szCs w:val="24"/>
          <w:highlight w:val="none"/>
        </w:rPr>
        <w:t>1</w:t>
      </w:r>
      <w:r>
        <w:rPr>
          <w:rFonts w:hint="eastAsia" w:hAnsi="宋体"/>
          <w:color w:val="auto"/>
          <w:szCs w:val="24"/>
          <w:highlight w:val="none"/>
        </w:rPr>
        <w:t>7</w:t>
      </w:r>
      <w:r>
        <w:rPr>
          <w:rFonts w:hAnsi="宋体"/>
          <w:color w:val="auto"/>
          <w:szCs w:val="24"/>
          <w:highlight w:val="none"/>
        </w:rPr>
        <w:t>.</w:t>
      </w:r>
      <w:r>
        <w:rPr>
          <w:rFonts w:hint="eastAsia" w:hAnsi="宋体"/>
          <w:color w:val="auto"/>
          <w:szCs w:val="24"/>
          <w:highlight w:val="none"/>
        </w:rPr>
        <w:t>4响应文件应字迹清楚、编排有序、内容齐全、不得涂改或增删。如有错漏处必须修改，应在修改处加盖供应商公章。</w:t>
      </w:r>
    </w:p>
    <w:p>
      <w:pPr>
        <w:spacing w:line="360" w:lineRule="auto"/>
        <w:ind w:firstLine="482" w:firstLineChars="200"/>
        <w:rPr>
          <w:rFonts w:hAnsi="宋体"/>
          <w:b/>
          <w:color w:val="auto"/>
          <w:szCs w:val="24"/>
          <w:highlight w:val="none"/>
        </w:rPr>
      </w:pPr>
      <w:r>
        <w:rPr>
          <w:rFonts w:hint="eastAsia" w:hAnsi="宋体"/>
          <w:b/>
          <w:color w:val="auto"/>
          <w:szCs w:val="24"/>
          <w:highlight w:val="none"/>
        </w:rPr>
        <w:t>18.询比保证金</w:t>
      </w:r>
    </w:p>
    <w:p>
      <w:pPr>
        <w:spacing w:line="360" w:lineRule="auto"/>
        <w:ind w:firstLine="480" w:firstLineChars="200"/>
        <w:rPr>
          <w:rFonts w:hAnsi="宋体"/>
          <w:color w:val="auto"/>
          <w:szCs w:val="24"/>
          <w:highlight w:val="none"/>
        </w:rPr>
      </w:pPr>
      <w:r>
        <w:rPr>
          <w:rFonts w:hint="eastAsia" w:hAnsi="宋体"/>
          <w:color w:val="auto"/>
          <w:szCs w:val="24"/>
          <w:highlight w:val="none"/>
        </w:rPr>
        <w:t>18</w:t>
      </w:r>
      <w:r>
        <w:rPr>
          <w:rFonts w:hAnsi="宋体"/>
          <w:color w:val="auto"/>
          <w:szCs w:val="24"/>
          <w:highlight w:val="none"/>
        </w:rPr>
        <w:t>.1</w:t>
      </w:r>
      <w:r>
        <w:rPr>
          <w:rFonts w:hint="eastAsia" w:hAnsi="宋体"/>
          <w:color w:val="auto"/>
          <w:szCs w:val="24"/>
          <w:highlight w:val="none"/>
        </w:rPr>
        <w:t>询比前，供应商应向</w:t>
      </w:r>
      <w:r>
        <w:rPr>
          <w:rFonts w:hint="eastAsia" w:hAnsi="宋体"/>
          <w:bCs/>
          <w:color w:val="auto"/>
          <w:szCs w:val="24"/>
          <w:highlight w:val="none"/>
        </w:rPr>
        <w:t>代理机构</w:t>
      </w:r>
      <w:r>
        <w:rPr>
          <w:rFonts w:hint="eastAsia" w:hAnsi="宋体"/>
          <w:color w:val="auto"/>
          <w:szCs w:val="24"/>
          <w:highlight w:val="none"/>
        </w:rPr>
        <w:t>提交供应商须知前附表规定金额的询比保证金，作为询比的一部分，询比保证金应当在询比截止时间前足额到达询比公告指定账号。</w:t>
      </w:r>
    </w:p>
    <w:p>
      <w:pPr>
        <w:spacing w:line="360" w:lineRule="auto"/>
        <w:ind w:firstLine="480" w:firstLineChars="200"/>
        <w:rPr>
          <w:rFonts w:hAnsi="宋体"/>
          <w:color w:val="auto"/>
          <w:szCs w:val="24"/>
          <w:highlight w:val="none"/>
        </w:rPr>
      </w:pPr>
      <w:r>
        <w:rPr>
          <w:rFonts w:hint="eastAsia" w:hAnsi="宋体"/>
          <w:color w:val="auto"/>
          <w:szCs w:val="24"/>
          <w:highlight w:val="none"/>
        </w:rPr>
        <w:t>18</w:t>
      </w:r>
      <w:r>
        <w:rPr>
          <w:rFonts w:hAnsi="宋体"/>
          <w:color w:val="auto"/>
          <w:szCs w:val="24"/>
          <w:highlight w:val="none"/>
        </w:rPr>
        <w:t>.2</w:t>
      </w:r>
      <w:r>
        <w:rPr>
          <w:rFonts w:hint="eastAsia" w:hAnsi="宋体"/>
          <w:color w:val="auto"/>
          <w:szCs w:val="24"/>
          <w:highlight w:val="none"/>
        </w:rPr>
        <w:t>询比保证金可采取下列任何一种形式：</w:t>
      </w:r>
    </w:p>
    <w:p>
      <w:pPr>
        <w:spacing w:line="360" w:lineRule="auto"/>
        <w:ind w:firstLine="480" w:firstLineChars="200"/>
        <w:rPr>
          <w:rFonts w:hAnsi="宋体"/>
          <w:color w:val="auto"/>
          <w:szCs w:val="24"/>
          <w:highlight w:val="none"/>
        </w:rPr>
      </w:pPr>
      <w:r>
        <w:rPr>
          <w:rFonts w:hint="eastAsia" w:hAnsi="宋体"/>
          <w:color w:val="auto"/>
          <w:szCs w:val="24"/>
          <w:highlight w:val="none"/>
        </w:rPr>
        <w:t>18.2.1异地电汇；</w:t>
      </w:r>
    </w:p>
    <w:p>
      <w:pPr>
        <w:spacing w:line="360" w:lineRule="auto"/>
        <w:ind w:firstLine="480" w:firstLineChars="200"/>
        <w:rPr>
          <w:rFonts w:hAnsi="宋体"/>
          <w:color w:val="auto"/>
          <w:szCs w:val="24"/>
          <w:highlight w:val="none"/>
        </w:rPr>
      </w:pPr>
      <w:r>
        <w:rPr>
          <w:rFonts w:hint="eastAsia" w:hAnsi="宋体"/>
          <w:color w:val="auto"/>
          <w:szCs w:val="24"/>
          <w:highlight w:val="none"/>
        </w:rPr>
        <w:t>18.2.2本地转帐；</w:t>
      </w:r>
    </w:p>
    <w:p>
      <w:pPr>
        <w:spacing w:line="360" w:lineRule="auto"/>
        <w:ind w:firstLine="480" w:firstLineChars="200"/>
        <w:rPr>
          <w:rFonts w:hAnsi="宋体"/>
          <w:color w:val="auto"/>
          <w:szCs w:val="24"/>
          <w:highlight w:val="none"/>
          <w:u w:val="single"/>
        </w:rPr>
      </w:pPr>
      <w:r>
        <w:rPr>
          <w:rFonts w:hint="eastAsia" w:hAnsi="宋体"/>
          <w:color w:val="auto"/>
          <w:szCs w:val="24"/>
          <w:highlight w:val="none"/>
        </w:rPr>
        <w:t>18.3</w:t>
      </w:r>
      <w:r>
        <w:rPr>
          <w:rFonts w:hint="eastAsia" w:hAnsi="宋体"/>
          <w:bCs/>
          <w:color w:val="auto"/>
          <w:szCs w:val="24"/>
          <w:highlight w:val="none"/>
        </w:rPr>
        <w:t>代理机构</w:t>
      </w:r>
      <w:r>
        <w:rPr>
          <w:rFonts w:hint="eastAsia" w:hAnsi="宋体"/>
          <w:color w:val="auto"/>
          <w:szCs w:val="24"/>
          <w:highlight w:val="none"/>
        </w:rPr>
        <w:t>不接收以现金或汇票形式递交的询比保证金；询比保证金缴纳人名称与供应商名称应当一致。分公司或子公司代缴询比保证金，视同名称不一致。询比保证金缴纳人名称与供应商名称不一致的，询比无效。</w:t>
      </w:r>
    </w:p>
    <w:p>
      <w:pPr>
        <w:spacing w:line="360" w:lineRule="auto"/>
        <w:ind w:firstLine="480" w:firstLineChars="200"/>
        <w:rPr>
          <w:rFonts w:hAnsi="宋体"/>
          <w:color w:val="auto"/>
          <w:szCs w:val="24"/>
          <w:highlight w:val="none"/>
          <w:u w:val="single"/>
        </w:rPr>
      </w:pPr>
      <w:r>
        <w:rPr>
          <w:rFonts w:hint="eastAsia" w:hAnsi="宋体"/>
          <w:color w:val="auto"/>
          <w:szCs w:val="24"/>
          <w:highlight w:val="none"/>
        </w:rPr>
        <w:t>18</w:t>
      </w:r>
      <w:r>
        <w:rPr>
          <w:rFonts w:hAnsi="宋体"/>
          <w:color w:val="auto"/>
          <w:szCs w:val="24"/>
          <w:highlight w:val="none"/>
        </w:rPr>
        <w:t>.</w:t>
      </w:r>
      <w:r>
        <w:rPr>
          <w:rFonts w:hint="eastAsia" w:hAnsi="宋体"/>
          <w:color w:val="auto"/>
          <w:szCs w:val="24"/>
          <w:highlight w:val="none"/>
        </w:rPr>
        <w:t>4未按要求提交询比保证金的询比，将被视为非响应性询比而导致询比无效。</w:t>
      </w:r>
    </w:p>
    <w:p>
      <w:pPr>
        <w:spacing w:line="360" w:lineRule="auto"/>
        <w:ind w:firstLine="480" w:firstLineChars="200"/>
        <w:rPr>
          <w:rFonts w:hAnsi="宋体"/>
          <w:color w:val="auto"/>
          <w:szCs w:val="24"/>
          <w:highlight w:val="none"/>
        </w:rPr>
      </w:pPr>
      <w:r>
        <w:rPr>
          <w:rFonts w:hint="eastAsia" w:hAnsi="宋体"/>
          <w:color w:val="auto"/>
          <w:szCs w:val="24"/>
          <w:highlight w:val="none"/>
        </w:rPr>
        <w:t>18</w:t>
      </w:r>
      <w:r>
        <w:rPr>
          <w:rFonts w:hAnsi="宋体"/>
          <w:color w:val="auto"/>
          <w:szCs w:val="24"/>
          <w:highlight w:val="none"/>
        </w:rPr>
        <w:t>.</w:t>
      </w:r>
      <w:r>
        <w:rPr>
          <w:rFonts w:hint="eastAsia" w:hAnsi="宋体"/>
          <w:color w:val="auto"/>
          <w:szCs w:val="24"/>
          <w:highlight w:val="none"/>
        </w:rPr>
        <w:t>5</w:t>
      </w:r>
      <w:r>
        <w:rPr>
          <w:rFonts w:hint="eastAsia" w:hAnsi="宋体"/>
          <w:bCs/>
          <w:color w:val="auto"/>
          <w:szCs w:val="24"/>
          <w:highlight w:val="none"/>
        </w:rPr>
        <w:t>代理机构</w:t>
      </w:r>
      <w:r>
        <w:rPr>
          <w:rFonts w:hint="eastAsia" w:hAnsi="宋体"/>
          <w:color w:val="auto"/>
          <w:szCs w:val="24"/>
          <w:highlight w:val="none"/>
        </w:rPr>
        <w:t>将在成交通知书发出后五个工作日内退还未成交供应商的询比保证金，在合同签订后五个工作日内退还成交供应商的询比保证金；</w:t>
      </w:r>
    </w:p>
    <w:p>
      <w:pPr>
        <w:spacing w:line="360" w:lineRule="auto"/>
        <w:ind w:firstLine="480" w:firstLineChars="200"/>
        <w:rPr>
          <w:rFonts w:hAnsi="宋体"/>
          <w:color w:val="auto"/>
          <w:szCs w:val="24"/>
          <w:highlight w:val="none"/>
        </w:rPr>
      </w:pPr>
      <w:r>
        <w:rPr>
          <w:rFonts w:hint="eastAsia" w:hAnsi="宋体"/>
          <w:color w:val="auto"/>
          <w:szCs w:val="24"/>
          <w:highlight w:val="none"/>
        </w:rPr>
        <w:t>询比保证金只退还至供应商账户。</w:t>
      </w:r>
    </w:p>
    <w:p>
      <w:pPr>
        <w:spacing w:line="360" w:lineRule="auto"/>
        <w:ind w:firstLine="480" w:firstLineChars="200"/>
        <w:rPr>
          <w:rFonts w:hAnsi="宋体"/>
          <w:color w:val="auto"/>
          <w:szCs w:val="24"/>
          <w:highlight w:val="none"/>
        </w:rPr>
      </w:pPr>
      <w:r>
        <w:rPr>
          <w:rFonts w:hint="eastAsia" w:hAnsi="宋体"/>
          <w:color w:val="auto"/>
          <w:szCs w:val="24"/>
          <w:highlight w:val="none"/>
        </w:rPr>
        <w:t>18</w:t>
      </w:r>
      <w:r>
        <w:rPr>
          <w:rFonts w:hAnsi="宋体"/>
          <w:color w:val="auto"/>
          <w:szCs w:val="24"/>
          <w:highlight w:val="none"/>
        </w:rPr>
        <w:t>.</w:t>
      </w:r>
      <w:r>
        <w:rPr>
          <w:rFonts w:hint="eastAsia" w:hAnsi="宋体"/>
          <w:color w:val="auto"/>
          <w:szCs w:val="24"/>
          <w:highlight w:val="none"/>
        </w:rPr>
        <w:t>6下列任何情况发生时，询比保证金将不予退还：</w:t>
      </w:r>
    </w:p>
    <w:p>
      <w:pPr>
        <w:spacing w:line="360" w:lineRule="auto"/>
        <w:ind w:firstLine="480" w:firstLineChars="200"/>
        <w:rPr>
          <w:rFonts w:hAnsi="宋体"/>
          <w:color w:val="auto"/>
          <w:highlight w:val="none"/>
        </w:rPr>
      </w:pPr>
      <w:r>
        <w:rPr>
          <w:rFonts w:hint="eastAsia" w:hAnsi="宋体"/>
          <w:color w:val="auto"/>
          <w:highlight w:val="none"/>
        </w:rPr>
        <w:t>（一）供应商在提交响应文件截止时间后撤回响应文件的；</w:t>
      </w:r>
    </w:p>
    <w:p>
      <w:pPr>
        <w:spacing w:line="360" w:lineRule="auto"/>
        <w:ind w:firstLine="480" w:firstLineChars="200"/>
        <w:rPr>
          <w:rFonts w:hAnsi="宋体"/>
          <w:color w:val="auto"/>
          <w:highlight w:val="none"/>
        </w:rPr>
      </w:pPr>
      <w:r>
        <w:rPr>
          <w:rFonts w:hint="eastAsia" w:hAnsi="宋体"/>
          <w:color w:val="auto"/>
          <w:highlight w:val="none"/>
        </w:rPr>
        <w:t>（二）供应商在响应文件中提供虚假材料的；</w:t>
      </w:r>
    </w:p>
    <w:p>
      <w:pPr>
        <w:spacing w:line="360" w:lineRule="auto"/>
        <w:ind w:firstLine="480" w:firstLineChars="200"/>
        <w:rPr>
          <w:rFonts w:hAnsi="宋体"/>
          <w:color w:val="auto"/>
          <w:highlight w:val="none"/>
        </w:rPr>
      </w:pPr>
      <w:r>
        <w:rPr>
          <w:rFonts w:hint="eastAsia" w:hAnsi="宋体"/>
          <w:color w:val="auto"/>
          <w:highlight w:val="none"/>
        </w:rPr>
        <w:t>（三）除因不可抗力或询比采购文件认可的情形以外，成交供应商放弃成交资格或不与采购人签订合同的；</w:t>
      </w:r>
    </w:p>
    <w:p>
      <w:pPr>
        <w:spacing w:line="360" w:lineRule="auto"/>
        <w:ind w:firstLine="480" w:firstLineChars="200"/>
        <w:rPr>
          <w:rFonts w:hAnsi="宋体"/>
          <w:color w:val="auto"/>
          <w:highlight w:val="none"/>
        </w:rPr>
      </w:pPr>
      <w:r>
        <w:rPr>
          <w:rFonts w:hint="eastAsia" w:hAnsi="宋体"/>
          <w:color w:val="auto"/>
          <w:highlight w:val="none"/>
        </w:rPr>
        <w:t>（四）供应商与采购人、其他供应商或者采购代理机构恶意串通的；</w:t>
      </w:r>
    </w:p>
    <w:p>
      <w:pPr>
        <w:spacing w:line="360" w:lineRule="auto"/>
        <w:ind w:firstLine="480" w:firstLineChars="200"/>
        <w:rPr>
          <w:rFonts w:hAnsi="宋体"/>
          <w:color w:val="auto"/>
          <w:highlight w:val="none"/>
        </w:rPr>
      </w:pPr>
      <w:r>
        <w:rPr>
          <w:rFonts w:hint="eastAsia" w:hAnsi="宋体"/>
          <w:color w:val="auto"/>
          <w:highlight w:val="none"/>
        </w:rPr>
        <w:t>（五）询比采购文件规定的其他情形。</w:t>
      </w:r>
    </w:p>
    <w:p>
      <w:pPr>
        <w:spacing w:line="360" w:lineRule="auto"/>
        <w:ind w:firstLine="482" w:firstLineChars="200"/>
        <w:rPr>
          <w:rFonts w:hAnsi="宋体"/>
          <w:b/>
          <w:color w:val="auto"/>
          <w:szCs w:val="24"/>
          <w:highlight w:val="none"/>
        </w:rPr>
      </w:pPr>
      <w:r>
        <w:rPr>
          <w:rFonts w:hint="eastAsia" w:hAnsi="宋体"/>
          <w:b/>
          <w:color w:val="auto"/>
          <w:szCs w:val="24"/>
          <w:highlight w:val="none"/>
        </w:rPr>
        <w:t>19.询比有效期</w:t>
      </w:r>
    </w:p>
    <w:p>
      <w:pPr>
        <w:spacing w:line="360" w:lineRule="auto"/>
        <w:ind w:firstLine="480" w:firstLineChars="200"/>
        <w:rPr>
          <w:rFonts w:hAnsi="宋体"/>
          <w:color w:val="auto"/>
          <w:szCs w:val="24"/>
          <w:highlight w:val="none"/>
        </w:rPr>
      </w:pPr>
      <w:r>
        <w:rPr>
          <w:rFonts w:hint="eastAsia" w:hAnsi="宋体"/>
          <w:color w:val="auto"/>
          <w:szCs w:val="24"/>
          <w:highlight w:val="none"/>
        </w:rPr>
        <w:t>19.1为</w:t>
      </w:r>
      <w:r>
        <w:rPr>
          <w:rFonts w:hAnsi="宋体"/>
          <w:color w:val="auto"/>
          <w:szCs w:val="24"/>
          <w:highlight w:val="none"/>
        </w:rPr>
        <w:t>保证</w:t>
      </w:r>
      <w:r>
        <w:rPr>
          <w:rFonts w:hint="eastAsia" w:hAnsi="宋体"/>
          <w:color w:val="auto"/>
          <w:szCs w:val="24"/>
          <w:highlight w:val="none"/>
        </w:rPr>
        <w:t>采购人</w:t>
      </w:r>
      <w:r>
        <w:rPr>
          <w:rFonts w:hAnsi="宋体"/>
          <w:color w:val="auto"/>
          <w:szCs w:val="24"/>
          <w:highlight w:val="none"/>
        </w:rPr>
        <w:t>有足够的时间完成评标和与</w:t>
      </w:r>
      <w:r>
        <w:rPr>
          <w:rFonts w:hint="eastAsia" w:hAnsi="宋体"/>
          <w:color w:val="auto"/>
          <w:szCs w:val="24"/>
          <w:highlight w:val="none"/>
        </w:rPr>
        <w:t>成交供应商</w:t>
      </w:r>
      <w:r>
        <w:rPr>
          <w:rFonts w:hAnsi="宋体"/>
          <w:color w:val="auto"/>
          <w:szCs w:val="24"/>
          <w:highlight w:val="none"/>
        </w:rPr>
        <w:t>签订合同</w:t>
      </w:r>
      <w:r>
        <w:rPr>
          <w:rFonts w:hint="eastAsia" w:hAnsi="宋体"/>
          <w:color w:val="auto"/>
          <w:szCs w:val="24"/>
          <w:highlight w:val="none"/>
        </w:rPr>
        <w:t>，规定询比有效期。询比有效期期限见供应商须知前附表。</w:t>
      </w:r>
    </w:p>
    <w:p>
      <w:pPr>
        <w:spacing w:line="360" w:lineRule="auto"/>
        <w:ind w:firstLine="480" w:firstLineChars="200"/>
        <w:rPr>
          <w:rFonts w:hAnsi="宋体"/>
          <w:color w:val="auto"/>
          <w:szCs w:val="24"/>
          <w:highlight w:val="none"/>
        </w:rPr>
      </w:pPr>
      <w:r>
        <w:rPr>
          <w:rFonts w:hint="eastAsia" w:hAnsi="宋体"/>
          <w:color w:val="auto"/>
          <w:szCs w:val="24"/>
          <w:highlight w:val="none"/>
        </w:rPr>
        <w:t>19.2在询比有效期内，供应商的询比保持有效，供应商不得要求撤销或修改其响应文件。</w:t>
      </w:r>
    </w:p>
    <w:p>
      <w:pPr>
        <w:spacing w:line="360" w:lineRule="auto"/>
        <w:ind w:firstLine="480" w:firstLineChars="200"/>
        <w:rPr>
          <w:rFonts w:hAnsi="宋体"/>
          <w:color w:val="auto"/>
          <w:szCs w:val="24"/>
          <w:highlight w:val="none"/>
        </w:rPr>
      </w:pPr>
      <w:r>
        <w:rPr>
          <w:rFonts w:hint="eastAsia" w:hAnsi="宋体"/>
          <w:color w:val="auto"/>
          <w:szCs w:val="24"/>
          <w:highlight w:val="none"/>
        </w:rPr>
        <w:t>19.3询比</w:t>
      </w:r>
      <w:r>
        <w:rPr>
          <w:rFonts w:hAnsi="宋体"/>
          <w:color w:val="auto"/>
          <w:szCs w:val="24"/>
          <w:highlight w:val="none"/>
        </w:rPr>
        <w:t>有效期从</w:t>
      </w:r>
      <w:r>
        <w:rPr>
          <w:rFonts w:hint="eastAsia" w:hAnsi="宋体"/>
          <w:color w:val="auto"/>
          <w:szCs w:val="24"/>
          <w:highlight w:val="none"/>
        </w:rPr>
        <w:t>响应文件递交截止日</w:t>
      </w:r>
      <w:r>
        <w:rPr>
          <w:rFonts w:hAnsi="宋体"/>
          <w:color w:val="auto"/>
          <w:szCs w:val="24"/>
          <w:highlight w:val="none"/>
        </w:rPr>
        <w:t>起计算。</w:t>
      </w:r>
    </w:p>
    <w:p>
      <w:pPr>
        <w:spacing w:line="360" w:lineRule="auto"/>
        <w:ind w:firstLine="480" w:firstLineChars="200"/>
        <w:rPr>
          <w:rFonts w:hAnsi="宋体"/>
          <w:color w:val="auto"/>
          <w:szCs w:val="24"/>
          <w:highlight w:val="none"/>
        </w:rPr>
      </w:pPr>
      <w:r>
        <w:rPr>
          <w:rFonts w:hint="eastAsia" w:hAnsi="宋体"/>
          <w:color w:val="auto"/>
          <w:szCs w:val="24"/>
          <w:highlight w:val="none"/>
        </w:rPr>
        <w:t>19.4在原定询比有效期满之前，如果出现特殊情况，</w:t>
      </w:r>
      <w:r>
        <w:rPr>
          <w:rFonts w:hint="eastAsia" w:hAnsi="宋体"/>
          <w:bCs/>
          <w:color w:val="auto"/>
          <w:szCs w:val="24"/>
          <w:highlight w:val="none"/>
        </w:rPr>
        <w:t>采购人</w:t>
      </w:r>
      <w:r>
        <w:rPr>
          <w:rFonts w:hint="eastAsia" w:hAnsi="宋体"/>
          <w:color w:val="auto"/>
          <w:szCs w:val="24"/>
          <w:highlight w:val="none"/>
        </w:rPr>
        <w:t>可以书面形式提出延长询比有效期的要求。供应商以书面形式予以答复，供应商可以拒绝这种要求而不被没收询比保证金。同意延长询比有效期的供应商不允许修改其响应文件的实质性内容，且需要相应地延长询比保证金的有效期。</w:t>
      </w:r>
    </w:p>
    <w:p>
      <w:pPr>
        <w:numPr>
          <w:ilvl w:val="0"/>
          <w:numId w:val="4"/>
        </w:numPr>
        <w:spacing w:line="360" w:lineRule="auto"/>
        <w:ind w:firstLine="482" w:firstLineChars="200"/>
        <w:rPr>
          <w:rFonts w:hAnsi="宋体"/>
          <w:b/>
          <w:color w:val="auto"/>
          <w:szCs w:val="24"/>
          <w:highlight w:val="none"/>
        </w:rPr>
      </w:pPr>
      <w:r>
        <w:rPr>
          <w:rFonts w:hint="eastAsia" w:hAnsi="宋体"/>
          <w:b/>
          <w:color w:val="auto"/>
          <w:szCs w:val="24"/>
          <w:highlight w:val="none"/>
        </w:rPr>
        <w:t>响应文件份数和签署</w:t>
      </w:r>
      <w:bookmarkStart w:id="90" w:name="_Hlt509650572"/>
      <w:bookmarkEnd w:id="90"/>
      <w:bookmarkStart w:id="91" w:name="_Toc419376299"/>
    </w:p>
    <w:p>
      <w:pPr>
        <w:spacing w:line="360" w:lineRule="auto"/>
        <w:ind w:firstLine="480" w:firstLineChars="200"/>
        <w:rPr>
          <w:rFonts w:hAnsi="宋体"/>
          <w:color w:val="auto"/>
          <w:szCs w:val="24"/>
          <w:highlight w:val="none"/>
        </w:rPr>
      </w:pPr>
      <w:r>
        <w:rPr>
          <w:rFonts w:hAnsi="宋体"/>
          <w:color w:val="auto"/>
          <w:highlight w:val="none"/>
        </w:rPr>
        <w:t>20.1</w:t>
      </w:r>
      <w:r>
        <w:rPr>
          <w:rFonts w:hint="eastAsia" w:hAnsi="宋体"/>
          <w:color w:val="auto"/>
          <w:highlight w:val="none"/>
        </w:rPr>
        <w:t>供应商应按照供应商须知前附表的要求准备响应文件。</w:t>
      </w:r>
    </w:p>
    <w:p>
      <w:pPr>
        <w:pStyle w:val="4"/>
        <w:spacing w:before="0" w:after="0" w:line="360" w:lineRule="auto"/>
        <w:ind w:firstLine="482" w:firstLineChars="200"/>
        <w:rPr>
          <w:rFonts w:ascii="宋体" w:hAnsi="宋体" w:eastAsia="宋体"/>
          <w:color w:val="auto"/>
          <w:sz w:val="24"/>
          <w:szCs w:val="24"/>
          <w:highlight w:val="none"/>
        </w:rPr>
      </w:pPr>
      <w:bookmarkStart w:id="92" w:name="_Toc13905"/>
      <w:bookmarkStart w:id="93" w:name="_Toc6837"/>
      <w:bookmarkStart w:id="94" w:name="_Toc7813"/>
      <w:bookmarkStart w:id="95" w:name="_Toc492637214"/>
      <w:bookmarkStart w:id="96" w:name="_Toc24172"/>
      <w:bookmarkStart w:id="97" w:name="_Toc3903"/>
      <w:r>
        <w:rPr>
          <w:rFonts w:hint="eastAsia" w:ascii="宋体" w:hAnsi="宋体" w:eastAsia="宋体"/>
          <w:color w:val="auto"/>
          <w:sz w:val="24"/>
          <w:szCs w:val="24"/>
          <w:highlight w:val="none"/>
        </w:rPr>
        <w:t>（四）响应文件的递交</w:t>
      </w:r>
      <w:bookmarkEnd w:id="91"/>
      <w:bookmarkEnd w:id="92"/>
      <w:bookmarkEnd w:id="93"/>
      <w:bookmarkEnd w:id="94"/>
      <w:bookmarkEnd w:id="95"/>
      <w:bookmarkEnd w:id="96"/>
      <w:bookmarkEnd w:id="97"/>
      <w:bookmarkStart w:id="98" w:name="_Hlt509649414"/>
      <w:bookmarkEnd w:id="98"/>
    </w:p>
    <w:p>
      <w:pPr>
        <w:spacing w:line="360" w:lineRule="auto"/>
        <w:ind w:firstLine="482" w:firstLineChars="200"/>
        <w:rPr>
          <w:rFonts w:hAnsi="宋体"/>
          <w:b/>
          <w:color w:val="auto"/>
          <w:szCs w:val="24"/>
          <w:highlight w:val="none"/>
        </w:rPr>
      </w:pPr>
      <w:r>
        <w:rPr>
          <w:rFonts w:hint="eastAsia" w:hAnsi="宋体"/>
          <w:b/>
          <w:color w:val="auto"/>
          <w:szCs w:val="24"/>
          <w:highlight w:val="none"/>
        </w:rPr>
        <w:t>21.响应文件的密封和标记</w:t>
      </w:r>
    </w:p>
    <w:p>
      <w:pPr>
        <w:pStyle w:val="125"/>
        <w:spacing w:line="360" w:lineRule="auto"/>
        <w:ind w:firstLine="55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.1建议响应文件的正本和全部副本一起装袋密封，不密封的响应文件无效。封袋上面应标明：</w:t>
      </w:r>
    </w:p>
    <w:p>
      <w:pPr>
        <w:pStyle w:val="125"/>
        <w:spacing w:line="360" w:lineRule="auto"/>
        <w:ind w:firstLine="550"/>
        <w:rPr>
          <w:rFonts w:ascii="宋体" w:hAnsi="宋体"/>
          <w:color w:val="auto"/>
          <w:sz w:val="24"/>
          <w:highlight w:val="none"/>
        </w:rPr>
      </w:pPr>
      <w:r>
        <w:rPr>
          <w:rFonts w:hint="eastAsia" w:ascii="宋体" w:hAnsi="宋体"/>
          <w:color w:val="auto"/>
          <w:sz w:val="24"/>
          <w:highlight w:val="none"/>
        </w:rPr>
        <w:t>（1）写明询比的项目名称；</w:t>
      </w:r>
    </w:p>
    <w:p>
      <w:pPr>
        <w:pStyle w:val="125"/>
        <w:spacing w:line="360" w:lineRule="auto"/>
        <w:ind w:firstLine="550"/>
        <w:rPr>
          <w:rFonts w:ascii="宋体" w:hAnsi="宋体"/>
          <w:color w:val="auto"/>
          <w:sz w:val="24"/>
          <w:highlight w:val="none"/>
        </w:rPr>
      </w:pPr>
      <w:r>
        <w:rPr>
          <w:rFonts w:hint="eastAsia" w:ascii="宋体" w:hAnsi="宋体"/>
          <w:color w:val="auto"/>
          <w:sz w:val="24"/>
          <w:highlight w:val="none"/>
        </w:rPr>
        <w:t>（2）写明在</w:t>
      </w:r>
      <w:r>
        <w:rPr>
          <w:rFonts w:ascii="宋体" w:hAnsi="宋体"/>
          <w:color w:val="auto"/>
          <w:sz w:val="24"/>
          <w:highlight w:val="none"/>
        </w:rPr>
        <w:t>2020</w:t>
      </w:r>
      <w:r>
        <w:rPr>
          <w:rFonts w:hint="eastAsia" w:ascii="宋体" w:hAnsi="宋体"/>
          <w:color w:val="auto"/>
          <w:sz w:val="24"/>
          <w:highlight w:val="none"/>
        </w:rPr>
        <w:t>年</w:t>
      </w:r>
      <w:r>
        <w:rPr>
          <w:rFonts w:ascii="宋体" w:hAnsi="宋体"/>
          <w:color w:val="auto"/>
          <w:sz w:val="24"/>
          <w:highlight w:val="none"/>
        </w:rPr>
        <w:t>8</w:t>
      </w:r>
      <w:r>
        <w:rPr>
          <w:rFonts w:hint="eastAsia" w:ascii="宋体" w:hAnsi="宋体"/>
          <w:color w:val="auto"/>
          <w:sz w:val="24"/>
          <w:highlight w:val="none"/>
        </w:rPr>
        <w:t>月</w:t>
      </w:r>
      <w:r>
        <w:rPr>
          <w:rFonts w:ascii="宋体" w:hAnsi="宋体"/>
          <w:color w:val="auto"/>
          <w:sz w:val="24"/>
          <w:highlight w:val="none"/>
        </w:rPr>
        <w:t>11</w:t>
      </w:r>
      <w:r>
        <w:rPr>
          <w:rFonts w:hint="eastAsia" w:ascii="宋体" w:hAnsi="宋体"/>
          <w:color w:val="auto"/>
          <w:sz w:val="24"/>
          <w:highlight w:val="none"/>
        </w:rPr>
        <w:t>日</w:t>
      </w:r>
      <w:r>
        <w:rPr>
          <w:rFonts w:ascii="宋体" w:hAnsi="宋体"/>
          <w:color w:val="auto"/>
          <w:sz w:val="24"/>
          <w:highlight w:val="none"/>
        </w:rPr>
        <w:t>9</w:t>
      </w:r>
      <w:r>
        <w:rPr>
          <w:rFonts w:hint="eastAsia" w:ascii="宋体" w:hAnsi="宋体"/>
          <w:color w:val="auto"/>
          <w:sz w:val="24"/>
          <w:highlight w:val="none"/>
        </w:rPr>
        <w:t xml:space="preserve"> 时</w:t>
      </w:r>
      <w:r>
        <w:rPr>
          <w:rFonts w:ascii="宋体" w:hAnsi="宋体"/>
          <w:color w:val="auto"/>
          <w:sz w:val="24"/>
          <w:highlight w:val="none"/>
        </w:rPr>
        <w:t>30</w:t>
      </w:r>
      <w:r>
        <w:rPr>
          <w:rFonts w:hint="eastAsia" w:ascii="宋体" w:hAnsi="宋体"/>
          <w:color w:val="auto"/>
          <w:sz w:val="24"/>
          <w:highlight w:val="none"/>
        </w:rPr>
        <w:t>分（询比截止时间）前不准启封；</w:t>
      </w:r>
    </w:p>
    <w:p>
      <w:pPr>
        <w:pStyle w:val="125"/>
        <w:spacing w:line="360" w:lineRule="auto"/>
        <w:ind w:firstLine="550"/>
        <w:rPr>
          <w:rFonts w:ascii="宋体" w:hAnsi="宋体"/>
          <w:color w:val="auto"/>
          <w:sz w:val="24"/>
          <w:highlight w:val="none"/>
        </w:rPr>
      </w:pPr>
      <w:r>
        <w:rPr>
          <w:rFonts w:hint="eastAsia" w:ascii="宋体" w:hAnsi="宋体"/>
          <w:color w:val="auto"/>
          <w:sz w:val="24"/>
          <w:highlight w:val="none"/>
        </w:rPr>
        <w:t>（3）写明供应商的名称和地址，并加盖供应商单位公章。</w:t>
      </w:r>
    </w:p>
    <w:p>
      <w:pPr>
        <w:pStyle w:val="125"/>
        <w:spacing w:line="360" w:lineRule="auto"/>
        <w:ind w:firstLine="55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.2如果未按规定封装或加写标记，代理机构将不承担响应文件错放或提前开封的责任，并可能导致响应无效。</w:t>
      </w:r>
    </w:p>
    <w:p>
      <w:pPr>
        <w:numPr>
          <w:ilvl w:val="0"/>
          <w:numId w:val="5"/>
        </w:numPr>
        <w:spacing w:line="360" w:lineRule="auto"/>
        <w:ind w:firstLine="482" w:firstLineChars="200"/>
        <w:rPr>
          <w:rFonts w:hAnsi="宋体"/>
          <w:b/>
          <w:color w:val="auto"/>
          <w:szCs w:val="24"/>
          <w:highlight w:val="none"/>
        </w:rPr>
      </w:pPr>
      <w:r>
        <w:rPr>
          <w:rFonts w:hint="eastAsia" w:hAnsi="宋体"/>
          <w:b/>
          <w:color w:val="auto"/>
          <w:szCs w:val="24"/>
          <w:highlight w:val="none"/>
        </w:rPr>
        <w:t>响应文件的递交</w:t>
      </w:r>
    </w:p>
    <w:p>
      <w:pPr>
        <w:spacing w:line="360" w:lineRule="auto"/>
        <w:ind w:firstLine="480" w:firstLineChars="200"/>
        <w:rPr>
          <w:rFonts w:hAnsi="宋体"/>
          <w:color w:val="auto"/>
          <w:szCs w:val="24"/>
          <w:highlight w:val="none"/>
        </w:rPr>
      </w:pPr>
      <w:r>
        <w:rPr>
          <w:rFonts w:hint="eastAsia" w:hAnsi="宋体"/>
          <w:color w:val="auto"/>
          <w:szCs w:val="24"/>
          <w:highlight w:val="none"/>
        </w:rPr>
        <w:t>22.1供应商应当在询比采购文件要求提交响应文件的截止时间前提交响应文件，否则响应无效。</w:t>
      </w:r>
    </w:p>
    <w:p>
      <w:pPr>
        <w:spacing w:line="360" w:lineRule="auto"/>
        <w:ind w:firstLine="480" w:firstLineChars="200"/>
        <w:rPr>
          <w:rFonts w:hAnsi="宋体"/>
          <w:color w:val="auto"/>
          <w:szCs w:val="24"/>
          <w:highlight w:val="none"/>
        </w:rPr>
      </w:pPr>
      <w:r>
        <w:rPr>
          <w:rFonts w:hint="eastAsia" w:hAnsi="宋体"/>
          <w:color w:val="auto"/>
          <w:szCs w:val="24"/>
          <w:highlight w:val="none"/>
        </w:rPr>
        <w:t>22.2在询比截止时间之后送达的响应文件，</w:t>
      </w:r>
      <w:r>
        <w:rPr>
          <w:rFonts w:hint="eastAsia" w:hAnsi="宋体"/>
          <w:bCs/>
          <w:color w:val="auto"/>
          <w:szCs w:val="24"/>
          <w:highlight w:val="none"/>
        </w:rPr>
        <w:t>代理机构</w:t>
      </w:r>
      <w:r>
        <w:rPr>
          <w:rFonts w:hint="eastAsia" w:hAnsi="宋体"/>
          <w:color w:val="auto"/>
          <w:szCs w:val="24"/>
          <w:highlight w:val="none"/>
        </w:rPr>
        <w:t>将拒绝接收。</w:t>
      </w:r>
    </w:p>
    <w:p>
      <w:pPr>
        <w:spacing w:line="360" w:lineRule="auto"/>
        <w:ind w:firstLine="482" w:firstLineChars="200"/>
        <w:rPr>
          <w:rFonts w:hAnsi="宋体"/>
          <w:b/>
          <w:color w:val="auto"/>
          <w:szCs w:val="24"/>
          <w:highlight w:val="none"/>
        </w:rPr>
      </w:pPr>
      <w:r>
        <w:rPr>
          <w:rFonts w:hint="eastAsia" w:hAnsi="宋体"/>
          <w:b/>
          <w:color w:val="auto"/>
          <w:szCs w:val="24"/>
          <w:highlight w:val="none"/>
        </w:rPr>
        <w:t>23.响应文件的修改和撤回</w:t>
      </w:r>
    </w:p>
    <w:p>
      <w:pPr>
        <w:spacing w:line="360" w:lineRule="auto"/>
        <w:ind w:firstLine="480" w:firstLineChars="200"/>
        <w:rPr>
          <w:rFonts w:hAnsi="宋体"/>
          <w:color w:val="auto"/>
          <w:szCs w:val="24"/>
          <w:highlight w:val="none"/>
        </w:rPr>
      </w:pPr>
      <w:r>
        <w:rPr>
          <w:rFonts w:hint="eastAsia" w:hAnsi="宋体"/>
          <w:color w:val="auto"/>
          <w:szCs w:val="24"/>
          <w:highlight w:val="none"/>
        </w:rPr>
        <w:t>23</w:t>
      </w:r>
      <w:r>
        <w:rPr>
          <w:rFonts w:hAnsi="宋体"/>
          <w:color w:val="auto"/>
          <w:szCs w:val="24"/>
          <w:highlight w:val="none"/>
        </w:rPr>
        <w:t>.</w:t>
      </w:r>
      <w:r>
        <w:rPr>
          <w:rFonts w:hint="eastAsia" w:hAnsi="宋体"/>
          <w:color w:val="auto"/>
          <w:szCs w:val="24"/>
          <w:highlight w:val="none"/>
        </w:rPr>
        <w:t>1供应商在递交响应文件后，可以修改或撤回其询比，但这种修改和撤回，必须在规定的询比截止日期前，并以书面形式通知</w:t>
      </w:r>
      <w:r>
        <w:rPr>
          <w:rFonts w:hint="eastAsia" w:hAnsi="宋体"/>
          <w:bCs/>
          <w:color w:val="auto"/>
          <w:szCs w:val="24"/>
          <w:highlight w:val="none"/>
        </w:rPr>
        <w:t>代理机构</w:t>
      </w:r>
      <w:r>
        <w:rPr>
          <w:rFonts w:hint="eastAsia" w:hAnsi="宋体"/>
          <w:color w:val="auto"/>
          <w:szCs w:val="24"/>
          <w:highlight w:val="none"/>
        </w:rPr>
        <w:t>。在询比截止时间后，供应商不得再要求修改或撤回其响应文件。</w:t>
      </w:r>
    </w:p>
    <w:p>
      <w:pPr>
        <w:spacing w:line="360" w:lineRule="auto"/>
        <w:ind w:firstLine="480" w:firstLineChars="200"/>
        <w:rPr>
          <w:rFonts w:hAnsi="宋体"/>
          <w:color w:val="auto"/>
          <w:szCs w:val="24"/>
          <w:highlight w:val="none"/>
        </w:rPr>
      </w:pPr>
      <w:r>
        <w:rPr>
          <w:rFonts w:hint="eastAsia" w:hAnsi="宋体"/>
          <w:color w:val="auto"/>
          <w:szCs w:val="24"/>
          <w:highlight w:val="none"/>
        </w:rPr>
        <w:t>23</w:t>
      </w:r>
      <w:r>
        <w:rPr>
          <w:rFonts w:hAnsi="宋体"/>
          <w:color w:val="auto"/>
          <w:szCs w:val="24"/>
          <w:highlight w:val="none"/>
        </w:rPr>
        <w:t>.2</w:t>
      </w:r>
      <w:r>
        <w:rPr>
          <w:rFonts w:hint="eastAsia" w:hAnsi="宋体"/>
          <w:color w:val="auto"/>
          <w:szCs w:val="24"/>
          <w:highlight w:val="none"/>
        </w:rPr>
        <w:t>供应商的修改书或撤回通知书，应按规定进行编制、密封、标记和递交，且在内层信封上标明“修改”或“撤回”字样。</w:t>
      </w:r>
    </w:p>
    <w:p>
      <w:pPr>
        <w:pStyle w:val="4"/>
        <w:spacing w:before="0" w:after="0" w:line="360" w:lineRule="auto"/>
        <w:ind w:firstLine="482" w:firstLineChars="200"/>
        <w:rPr>
          <w:rFonts w:ascii="宋体" w:hAnsi="宋体" w:eastAsia="宋体"/>
          <w:color w:val="auto"/>
          <w:sz w:val="24"/>
          <w:szCs w:val="24"/>
          <w:highlight w:val="none"/>
        </w:rPr>
      </w:pPr>
      <w:bookmarkStart w:id="99" w:name="_Hlt509649294"/>
      <w:bookmarkEnd w:id="99"/>
      <w:bookmarkStart w:id="100" w:name="_Toc23809"/>
      <w:bookmarkStart w:id="101" w:name="_Toc7662"/>
      <w:bookmarkStart w:id="102" w:name="_Toc492637215"/>
      <w:bookmarkStart w:id="103" w:name="_Toc11679"/>
      <w:bookmarkStart w:id="104" w:name="_Toc10077"/>
      <w:bookmarkStart w:id="105" w:name="_Toc8874"/>
      <w:r>
        <w:rPr>
          <w:rFonts w:hint="eastAsia" w:ascii="宋体" w:hAnsi="宋体" w:eastAsia="宋体"/>
          <w:color w:val="auto"/>
          <w:sz w:val="24"/>
          <w:szCs w:val="24"/>
          <w:highlight w:val="none"/>
        </w:rPr>
        <w:t>（五）询比与评审</w:t>
      </w:r>
      <w:bookmarkEnd w:id="100"/>
      <w:bookmarkEnd w:id="101"/>
      <w:bookmarkEnd w:id="102"/>
      <w:bookmarkEnd w:id="103"/>
      <w:bookmarkEnd w:id="104"/>
      <w:bookmarkEnd w:id="105"/>
    </w:p>
    <w:p>
      <w:pPr>
        <w:spacing w:line="360" w:lineRule="auto"/>
        <w:ind w:firstLine="482" w:firstLineChars="200"/>
        <w:rPr>
          <w:rFonts w:hAnsi="宋体"/>
          <w:b/>
          <w:color w:val="auto"/>
          <w:szCs w:val="24"/>
          <w:highlight w:val="none"/>
        </w:rPr>
      </w:pPr>
      <w:r>
        <w:rPr>
          <w:rFonts w:hint="eastAsia" w:hAnsi="宋体"/>
          <w:b/>
          <w:color w:val="auto"/>
          <w:szCs w:val="24"/>
          <w:highlight w:val="none"/>
        </w:rPr>
        <w:t>24.接收响应文件</w:t>
      </w:r>
    </w:p>
    <w:p>
      <w:pPr>
        <w:spacing w:line="360" w:lineRule="auto"/>
        <w:ind w:firstLine="480" w:firstLineChars="200"/>
        <w:rPr>
          <w:rFonts w:hAnsi="宋体"/>
          <w:color w:val="auto"/>
          <w:szCs w:val="24"/>
          <w:highlight w:val="none"/>
        </w:rPr>
      </w:pPr>
      <w:r>
        <w:rPr>
          <w:rFonts w:hint="eastAsia" w:hAnsi="宋体"/>
          <w:color w:val="auto"/>
          <w:szCs w:val="24"/>
          <w:highlight w:val="none"/>
        </w:rPr>
        <w:t>24.1</w:t>
      </w:r>
      <w:r>
        <w:rPr>
          <w:rFonts w:hint="eastAsia" w:hAnsi="宋体"/>
          <w:bCs/>
          <w:color w:val="auto"/>
          <w:szCs w:val="24"/>
          <w:highlight w:val="none"/>
        </w:rPr>
        <w:t>代理机构</w:t>
      </w:r>
      <w:r>
        <w:rPr>
          <w:rFonts w:hint="eastAsia" w:hAnsi="宋体"/>
          <w:color w:val="auto"/>
          <w:szCs w:val="24"/>
          <w:highlight w:val="none"/>
        </w:rPr>
        <w:t>将在供应商须知前附表规定的时间和地点接收响应文件。</w:t>
      </w:r>
    </w:p>
    <w:p>
      <w:pPr>
        <w:spacing w:line="360" w:lineRule="auto"/>
        <w:ind w:firstLine="480" w:firstLineChars="200"/>
        <w:rPr>
          <w:rFonts w:hAnsi="宋体"/>
          <w:color w:val="auto"/>
          <w:szCs w:val="24"/>
          <w:highlight w:val="none"/>
        </w:rPr>
      </w:pPr>
      <w:r>
        <w:rPr>
          <w:rFonts w:hint="eastAsia" w:hAnsi="宋体"/>
          <w:color w:val="auto"/>
          <w:szCs w:val="24"/>
          <w:highlight w:val="none"/>
        </w:rPr>
        <w:t>24.2在询比过程中，供应商提交的澄清、说明或者更正和最后报价等响应文件应当由供应商代表签字或者加盖公章后生效，供应商应受其约束。</w:t>
      </w:r>
    </w:p>
    <w:p>
      <w:pPr>
        <w:spacing w:line="360" w:lineRule="auto"/>
        <w:ind w:firstLine="482" w:firstLineChars="200"/>
        <w:rPr>
          <w:rFonts w:hint="eastAsia" w:hAnsi="宋体"/>
          <w:b/>
          <w:color w:val="auto"/>
          <w:szCs w:val="24"/>
          <w:highlight w:val="none"/>
        </w:rPr>
      </w:pPr>
      <w:r>
        <w:rPr>
          <w:rFonts w:hint="eastAsia" w:hAnsi="宋体"/>
          <w:b/>
          <w:color w:val="auto"/>
          <w:szCs w:val="24"/>
          <w:highlight w:val="none"/>
        </w:rPr>
        <w:t>25.评审委员会</w:t>
      </w:r>
    </w:p>
    <w:p>
      <w:pPr>
        <w:spacing w:line="360" w:lineRule="auto"/>
        <w:ind w:firstLine="480" w:firstLineChars="200"/>
        <w:rPr>
          <w:rFonts w:hAnsi="宋体"/>
          <w:bCs/>
          <w:color w:val="auto"/>
          <w:szCs w:val="24"/>
          <w:highlight w:val="none"/>
        </w:rPr>
      </w:pPr>
      <w:r>
        <w:rPr>
          <w:rFonts w:hint="eastAsia" w:hAnsi="宋体"/>
          <w:bCs/>
          <w:color w:val="auto"/>
          <w:szCs w:val="24"/>
          <w:highlight w:val="none"/>
        </w:rPr>
        <w:t>25</w:t>
      </w:r>
      <w:r>
        <w:rPr>
          <w:rFonts w:hAnsi="宋体"/>
          <w:bCs/>
          <w:color w:val="auto"/>
          <w:szCs w:val="24"/>
          <w:highlight w:val="none"/>
        </w:rPr>
        <w:t>.</w:t>
      </w:r>
      <w:r>
        <w:rPr>
          <w:rFonts w:hint="eastAsia" w:hAnsi="宋体"/>
          <w:bCs/>
          <w:color w:val="auto"/>
          <w:szCs w:val="24"/>
          <w:highlight w:val="none"/>
        </w:rPr>
        <w:t>1本项目将依法组建</w:t>
      </w:r>
      <w:r>
        <w:rPr>
          <w:rFonts w:hint="eastAsia" w:hAnsi="宋体"/>
          <w:color w:val="auto"/>
          <w:highlight w:val="none"/>
        </w:rPr>
        <w:t>评审委员会</w:t>
      </w:r>
      <w:r>
        <w:rPr>
          <w:rFonts w:hint="eastAsia" w:hAnsi="宋体"/>
          <w:bCs/>
          <w:color w:val="auto"/>
          <w:szCs w:val="24"/>
          <w:highlight w:val="none"/>
        </w:rPr>
        <w:t>，</w:t>
      </w:r>
      <w:r>
        <w:rPr>
          <w:rFonts w:hint="eastAsia" w:hAnsi="宋体"/>
          <w:color w:val="auto"/>
          <w:highlight w:val="none"/>
        </w:rPr>
        <w:t>评审委员会</w:t>
      </w:r>
      <w:r>
        <w:rPr>
          <w:rFonts w:hint="eastAsia" w:hAnsi="宋体"/>
          <w:bCs/>
          <w:color w:val="auto"/>
          <w:szCs w:val="24"/>
          <w:highlight w:val="none"/>
        </w:rPr>
        <w:t>成员由3人或以上单数组成，</w:t>
      </w:r>
      <w:r>
        <w:rPr>
          <w:rFonts w:hint="eastAsia" w:hAnsi="宋体"/>
          <w:color w:val="auto"/>
          <w:highlight w:val="none"/>
        </w:rPr>
        <w:t>评审委员会</w:t>
      </w:r>
      <w:r>
        <w:rPr>
          <w:rFonts w:hint="eastAsia" w:hAnsi="宋体"/>
          <w:bCs/>
          <w:color w:val="auto"/>
          <w:szCs w:val="24"/>
          <w:highlight w:val="none"/>
        </w:rPr>
        <w:t>及其成员应当依照有关规定履行相关职责和义务。</w:t>
      </w:r>
    </w:p>
    <w:p>
      <w:pPr>
        <w:spacing w:line="360" w:lineRule="auto"/>
        <w:ind w:firstLine="480" w:firstLineChars="200"/>
        <w:rPr>
          <w:rFonts w:hAnsi="宋体"/>
          <w:bCs/>
          <w:color w:val="auto"/>
          <w:szCs w:val="24"/>
          <w:highlight w:val="none"/>
        </w:rPr>
      </w:pPr>
      <w:r>
        <w:rPr>
          <w:rFonts w:hint="eastAsia" w:hAnsi="宋体"/>
          <w:bCs/>
          <w:color w:val="auto"/>
          <w:szCs w:val="24"/>
          <w:highlight w:val="none"/>
        </w:rPr>
        <w:t>25.2</w:t>
      </w:r>
      <w:r>
        <w:rPr>
          <w:rFonts w:hint="eastAsia" w:hAnsi="宋体"/>
          <w:color w:val="auto"/>
          <w:highlight w:val="none"/>
        </w:rPr>
        <w:t>评审委员会</w:t>
      </w:r>
      <w:r>
        <w:rPr>
          <w:rFonts w:hint="eastAsia" w:hAnsi="宋体"/>
          <w:bCs/>
          <w:color w:val="auto"/>
          <w:szCs w:val="24"/>
          <w:highlight w:val="none"/>
        </w:rPr>
        <w:t>依法对响应文件进行评审，并根据询比采购文件规定的程序、评定成交的标准等事项与实质性响应询比采购文件要求的供应商进行询比。</w:t>
      </w:r>
    </w:p>
    <w:p>
      <w:pPr>
        <w:spacing w:line="360" w:lineRule="auto"/>
        <w:ind w:firstLine="480" w:firstLineChars="200"/>
        <w:rPr>
          <w:rFonts w:hAnsi="宋体"/>
          <w:bCs/>
          <w:color w:val="auto"/>
          <w:szCs w:val="24"/>
          <w:highlight w:val="none"/>
        </w:rPr>
      </w:pPr>
      <w:r>
        <w:rPr>
          <w:rFonts w:hint="eastAsia" w:hAnsi="宋体"/>
          <w:bCs/>
          <w:color w:val="auto"/>
          <w:szCs w:val="24"/>
          <w:highlight w:val="none"/>
        </w:rPr>
        <w:t>25.3</w:t>
      </w:r>
      <w:r>
        <w:rPr>
          <w:rFonts w:hint="eastAsia" w:hAnsi="宋体"/>
          <w:color w:val="auto"/>
          <w:highlight w:val="none"/>
        </w:rPr>
        <w:t>评审委员会</w:t>
      </w:r>
      <w:r>
        <w:rPr>
          <w:rFonts w:hint="eastAsia" w:hAnsi="宋体"/>
          <w:bCs/>
          <w:color w:val="auto"/>
          <w:szCs w:val="24"/>
          <w:highlight w:val="none"/>
        </w:rPr>
        <w:t>应当从质量和服务均能满足询比采购文件实质性响应要求的供应商中，按照评审办法提出成交候选供应商，并编写评标报告。</w:t>
      </w:r>
    </w:p>
    <w:p>
      <w:pPr>
        <w:spacing w:line="360" w:lineRule="auto"/>
        <w:ind w:firstLine="482" w:firstLineChars="200"/>
        <w:rPr>
          <w:rFonts w:hAnsi="宋体"/>
          <w:b/>
          <w:color w:val="auto"/>
          <w:szCs w:val="24"/>
          <w:highlight w:val="none"/>
        </w:rPr>
      </w:pPr>
      <w:r>
        <w:rPr>
          <w:rFonts w:hint="eastAsia" w:hAnsi="宋体"/>
          <w:b/>
          <w:color w:val="auto"/>
          <w:szCs w:val="24"/>
          <w:highlight w:val="none"/>
        </w:rPr>
        <w:t>26.响应文件评审与询比</w:t>
      </w:r>
    </w:p>
    <w:p>
      <w:pPr>
        <w:pStyle w:val="125"/>
        <w:snapToGrid w:val="0"/>
        <w:spacing w:line="360" w:lineRule="auto"/>
        <w:ind w:left="120" w:leftChars="50" w:firstLine="360" w:firstLineChars="150"/>
        <w:rPr>
          <w:rFonts w:ascii="宋体" w:hAnsi="宋体" w:cs="Times New Roman"/>
          <w:bCs/>
          <w:color w:val="auto"/>
          <w:kern w:val="0"/>
          <w:sz w:val="24"/>
          <w:szCs w:val="24"/>
          <w:highlight w:val="none"/>
        </w:rPr>
      </w:pPr>
      <w:r>
        <w:rPr>
          <w:rFonts w:hint="eastAsia" w:ascii="宋体" w:hAnsi="宋体" w:cs="Times New Roman"/>
          <w:bCs/>
          <w:color w:val="auto"/>
          <w:kern w:val="0"/>
          <w:sz w:val="24"/>
          <w:szCs w:val="24"/>
          <w:highlight w:val="none"/>
        </w:rPr>
        <w:t>26.1代理机构将在将在供应商须知前附表规定的时间和地点组织询比。</w:t>
      </w:r>
    </w:p>
    <w:p>
      <w:pPr>
        <w:pStyle w:val="125"/>
        <w:snapToGrid w:val="0"/>
        <w:spacing w:line="360" w:lineRule="auto"/>
        <w:ind w:left="120" w:leftChars="50" w:firstLine="360" w:firstLineChars="150"/>
        <w:rPr>
          <w:rFonts w:ascii="宋体" w:hAnsi="宋体" w:cs="Times New Roman"/>
          <w:bCs/>
          <w:color w:val="auto"/>
          <w:kern w:val="0"/>
          <w:sz w:val="24"/>
          <w:szCs w:val="24"/>
          <w:highlight w:val="none"/>
        </w:rPr>
      </w:pPr>
      <w:r>
        <w:rPr>
          <w:rFonts w:hint="eastAsia" w:ascii="宋体" w:hAnsi="宋体" w:cs="Times New Roman"/>
          <w:bCs/>
          <w:color w:val="auto"/>
          <w:kern w:val="0"/>
          <w:sz w:val="24"/>
          <w:szCs w:val="24"/>
          <w:highlight w:val="none"/>
        </w:rPr>
        <w:t>26.2询比采用采用综合评分法。</w:t>
      </w:r>
    </w:p>
    <w:p>
      <w:pPr>
        <w:spacing w:line="360" w:lineRule="auto"/>
        <w:ind w:firstLine="480" w:firstLineChars="200"/>
        <w:rPr>
          <w:rFonts w:hAnsi="宋体"/>
          <w:bCs/>
          <w:color w:val="auto"/>
          <w:szCs w:val="24"/>
          <w:highlight w:val="none"/>
        </w:rPr>
      </w:pPr>
      <w:r>
        <w:rPr>
          <w:rFonts w:hint="eastAsia" w:hAnsi="宋体"/>
          <w:bCs/>
          <w:color w:val="auto"/>
          <w:szCs w:val="24"/>
          <w:highlight w:val="none"/>
        </w:rPr>
        <w:t>26.3</w:t>
      </w:r>
      <w:r>
        <w:rPr>
          <w:rFonts w:hint="eastAsia" w:hAnsi="宋体"/>
          <w:color w:val="auto"/>
          <w:highlight w:val="none"/>
        </w:rPr>
        <w:t>评审委员会</w:t>
      </w:r>
      <w:r>
        <w:rPr>
          <w:rFonts w:hint="eastAsia" w:hAnsi="宋体"/>
          <w:bCs/>
          <w:color w:val="auto"/>
          <w:szCs w:val="24"/>
          <w:highlight w:val="none"/>
        </w:rPr>
        <w:t>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Ansi="宋体"/>
          <w:color w:val="auto"/>
          <w:szCs w:val="24"/>
          <w:highlight w:val="none"/>
        </w:rPr>
      </w:pPr>
      <w:r>
        <w:rPr>
          <w:rFonts w:hint="eastAsia" w:hAnsi="宋体"/>
          <w:color w:val="auto"/>
          <w:szCs w:val="24"/>
          <w:highlight w:val="none"/>
        </w:rPr>
        <w:t>26.4</w:t>
      </w:r>
      <w:r>
        <w:rPr>
          <w:rFonts w:hint="eastAsia" w:hAnsi="宋体"/>
          <w:color w:val="auto"/>
          <w:highlight w:val="none"/>
        </w:rPr>
        <w:t>评审委员会</w:t>
      </w:r>
      <w:r>
        <w:rPr>
          <w:rFonts w:hint="eastAsia" w:hAnsi="宋体"/>
          <w:color w:val="auto"/>
          <w:szCs w:val="24"/>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hAnsi="宋体"/>
          <w:color w:val="auto"/>
          <w:szCs w:val="24"/>
          <w:highlight w:val="none"/>
        </w:rPr>
      </w:pPr>
      <w:r>
        <w:rPr>
          <w:rFonts w:hint="eastAsia" w:hAnsi="宋体"/>
          <w:color w:val="auto"/>
          <w:szCs w:val="24"/>
          <w:highlight w:val="none"/>
        </w:rPr>
        <w:t>26.5供应商未实质性响应询比采购文件要求的，</w:t>
      </w:r>
      <w:r>
        <w:rPr>
          <w:rFonts w:hint="eastAsia" w:hAnsi="宋体"/>
          <w:color w:val="auto"/>
          <w:highlight w:val="none"/>
        </w:rPr>
        <w:t>评审委员会</w:t>
      </w:r>
      <w:r>
        <w:rPr>
          <w:rFonts w:hint="eastAsia" w:hAnsi="宋体"/>
          <w:color w:val="auto"/>
          <w:szCs w:val="24"/>
          <w:highlight w:val="none"/>
        </w:rPr>
        <w:t>将以书面询标的方式告知有关供应商。</w:t>
      </w:r>
    </w:p>
    <w:p>
      <w:pPr>
        <w:spacing w:line="360" w:lineRule="auto"/>
        <w:ind w:firstLine="470" w:firstLineChars="196"/>
        <w:rPr>
          <w:rFonts w:hAnsi="宋体"/>
          <w:color w:val="auto"/>
          <w:highlight w:val="none"/>
        </w:rPr>
      </w:pPr>
      <w:r>
        <w:rPr>
          <w:rFonts w:hint="eastAsia" w:hAnsi="宋体"/>
          <w:color w:val="auto"/>
          <w:highlight w:val="none"/>
        </w:rPr>
        <w:t>26.6询比采购文件的实质性响应内容及评审要求详见评审表。</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6</w:t>
      </w:r>
      <w:r>
        <w:rPr>
          <w:rFonts w:hint="eastAsia" w:hAnsi="宋体"/>
          <w:color w:val="auto"/>
          <w:szCs w:val="24"/>
          <w:highlight w:val="none"/>
        </w:rPr>
        <w:t>.7</w:t>
      </w:r>
      <w:r>
        <w:rPr>
          <w:rFonts w:hint="eastAsia" w:hAnsi="宋体"/>
          <w:color w:val="auto"/>
          <w:highlight w:val="none"/>
        </w:rPr>
        <w:t>评审委员会与实质性响应询比采购文件要求的供应商进行询比。评审委员会将根据响应文件</w:t>
      </w:r>
      <w:r>
        <w:rPr>
          <w:rFonts w:hint="eastAsia" w:hAnsi="宋体"/>
          <w:b/>
          <w:color w:val="auto"/>
          <w:highlight w:val="none"/>
          <w:u w:val="single"/>
        </w:rPr>
        <w:t>递交顺序</w:t>
      </w:r>
      <w:r>
        <w:rPr>
          <w:rFonts w:hint="eastAsia" w:hAnsi="宋体"/>
          <w:color w:val="auto"/>
          <w:highlight w:val="none"/>
        </w:rPr>
        <w:t>分别与供应商就询比报价、施工组织设计、材料质量和环保性、设计方案等内容进行询比。</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6</w:t>
      </w:r>
      <w:r>
        <w:rPr>
          <w:rFonts w:hint="eastAsia" w:hAnsi="宋体"/>
          <w:color w:val="auto"/>
          <w:szCs w:val="24"/>
          <w:highlight w:val="none"/>
        </w:rPr>
        <w:t>.8</w:t>
      </w:r>
      <w:r>
        <w:rPr>
          <w:rFonts w:hint="eastAsia" w:hAnsi="宋体"/>
          <w:color w:val="auto"/>
          <w:highlight w:val="none"/>
        </w:rPr>
        <w:t>评审委员会</w:t>
      </w:r>
      <w:r>
        <w:rPr>
          <w:rFonts w:hint="eastAsia" w:hAnsi="宋体"/>
          <w:color w:val="auto"/>
          <w:szCs w:val="24"/>
          <w:highlight w:val="none"/>
        </w:rPr>
        <w:t>所有成员集中与单一供应商分别进行询比，并给予所有参加询比的供应商平等的询比机会。</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6</w:t>
      </w:r>
      <w:r>
        <w:rPr>
          <w:rFonts w:hint="eastAsia" w:hAnsi="宋体"/>
          <w:color w:val="auto"/>
          <w:szCs w:val="24"/>
          <w:highlight w:val="none"/>
        </w:rPr>
        <w:t>.9为保证询比活动顺利进行，供应商可派相关技术人员进行现场答疑。</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6</w:t>
      </w:r>
      <w:r>
        <w:rPr>
          <w:rFonts w:hint="eastAsia" w:hAnsi="宋体"/>
          <w:color w:val="auto"/>
          <w:szCs w:val="24"/>
          <w:highlight w:val="none"/>
        </w:rPr>
        <w:t>.10</w:t>
      </w:r>
      <w:r>
        <w:rPr>
          <w:rFonts w:hint="eastAsia" w:hAnsi="宋体"/>
          <w:color w:val="auto"/>
          <w:highlight w:val="none"/>
        </w:rPr>
        <w:t>评审委员会</w:t>
      </w:r>
      <w:r>
        <w:rPr>
          <w:rFonts w:hint="eastAsia" w:hAnsi="宋体"/>
          <w:color w:val="auto"/>
          <w:szCs w:val="24"/>
          <w:highlight w:val="none"/>
        </w:rPr>
        <w:t>根据与供应商询比情况可能实质性变动询比采购文件的内容，包括项目需求中的技术、服务要求以及合同草案条款。询比采购文件有实质性变动的，经采购人代表确认作为询比采购文件的有效组成部分，</w:t>
      </w:r>
      <w:r>
        <w:rPr>
          <w:rFonts w:hint="eastAsia" w:hAnsi="宋体"/>
          <w:color w:val="auto"/>
          <w:highlight w:val="none"/>
        </w:rPr>
        <w:t>评审委员会</w:t>
      </w:r>
      <w:r>
        <w:rPr>
          <w:rFonts w:hint="eastAsia" w:hAnsi="宋体"/>
          <w:color w:val="auto"/>
          <w:szCs w:val="24"/>
          <w:highlight w:val="none"/>
        </w:rPr>
        <w:t>将以书面形式通知所有参加询比的供应商。</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6</w:t>
      </w:r>
      <w:r>
        <w:rPr>
          <w:rFonts w:hint="eastAsia" w:hAnsi="宋体"/>
          <w:color w:val="auto"/>
          <w:szCs w:val="24"/>
          <w:highlight w:val="none"/>
        </w:rPr>
        <w:t>.11询比过程中，</w:t>
      </w:r>
      <w:r>
        <w:rPr>
          <w:rFonts w:hint="eastAsia" w:hAnsi="宋体"/>
          <w:color w:val="auto"/>
          <w:highlight w:val="none"/>
        </w:rPr>
        <w:t>评审委员会</w:t>
      </w:r>
      <w:r>
        <w:rPr>
          <w:rFonts w:hint="eastAsia" w:hAnsi="宋体"/>
          <w:color w:val="auto"/>
          <w:szCs w:val="24"/>
          <w:highlight w:val="none"/>
        </w:rPr>
        <w:t>对询比报价中分部分项工程综合单价进行规范性评审，对明显相互冲突、自相矛盾或不合理的、缺漏项的（属于细微偏差的除外），经</w:t>
      </w:r>
      <w:r>
        <w:rPr>
          <w:rFonts w:hint="eastAsia" w:hAnsi="宋体"/>
          <w:color w:val="auto"/>
          <w:highlight w:val="none"/>
        </w:rPr>
        <w:t>评审委员会</w:t>
      </w:r>
      <w:r>
        <w:rPr>
          <w:rFonts w:hint="eastAsia" w:hAnsi="宋体"/>
          <w:color w:val="auto"/>
          <w:szCs w:val="24"/>
          <w:highlight w:val="none"/>
        </w:rPr>
        <w:t>做重点评审后，可作为无效询比。</w:t>
      </w:r>
    </w:p>
    <w:p>
      <w:pPr>
        <w:spacing w:line="360" w:lineRule="auto"/>
        <w:ind w:firstLine="480" w:firstLineChars="200"/>
        <w:rPr>
          <w:rFonts w:hAnsi="宋体"/>
          <w:color w:val="auto"/>
          <w:szCs w:val="24"/>
          <w:highlight w:val="none"/>
        </w:rPr>
      </w:pPr>
      <w:r>
        <w:rPr>
          <w:rFonts w:hint="eastAsia" w:hAnsi="宋体"/>
          <w:color w:val="auto"/>
          <w:szCs w:val="24"/>
          <w:highlight w:val="none"/>
        </w:rPr>
        <w:t>在询比过程中，</w:t>
      </w:r>
      <w:r>
        <w:rPr>
          <w:rFonts w:hint="eastAsia" w:hAnsi="宋体"/>
          <w:color w:val="auto"/>
          <w:highlight w:val="none"/>
        </w:rPr>
        <w:t>评审委员会</w:t>
      </w:r>
      <w:r>
        <w:rPr>
          <w:rFonts w:hint="eastAsia" w:hAnsi="宋体"/>
          <w:color w:val="auto"/>
          <w:szCs w:val="24"/>
          <w:highlight w:val="none"/>
        </w:rPr>
        <w:t>发现供应商的报价或者某些分项报价明显不合理或者低于成本，有可能影响质量和不能诚信履约的，应当要求其在规定的期限内提供书面文件予以解释说明，并提交相关证明材料。供应商不能合理说明或者不能提供相关证明材料的，</w:t>
      </w:r>
      <w:r>
        <w:rPr>
          <w:rFonts w:hint="eastAsia" w:hAnsi="宋体"/>
          <w:color w:val="auto"/>
          <w:highlight w:val="none"/>
        </w:rPr>
        <w:t>评审委员会</w:t>
      </w:r>
      <w:r>
        <w:rPr>
          <w:rFonts w:hint="eastAsia" w:hAnsi="宋体"/>
          <w:color w:val="auto"/>
          <w:szCs w:val="24"/>
          <w:highlight w:val="none"/>
        </w:rPr>
        <w:t>可以否决其询比，按顺序由排在后面的候选供应商递补，以此类推。</w:t>
      </w:r>
    </w:p>
    <w:p>
      <w:pPr>
        <w:spacing w:line="360" w:lineRule="auto"/>
        <w:ind w:firstLine="480" w:firstLineChars="200"/>
        <w:rPr>
          <w:rFonts w:hAnsi="宋体"/>
          <w:color w:val="auto"/>
          <w:szCs w:val="24"/>
          <w:highlight w:val="none"/>
        </w:rPr>
      </w:pPr>
      <w:r>
        <w:rPr>
          <w:rFonts w:hAnsi="宋体"/>
          <w:color w:val="auto"/>
          <w:szCs w:val="24"/>
          <w:highlight w:val="none"/>
        </w:rPr>
        <w:t>26</w:t>
      </w:r>
      <w:r>
        <w:rPr>
          <w:rFonts w:hint="eastAsia" w:hAnsi="宋体"/>
          <w:color w:val="auto"/>
          <w:szCs w:val="24"/>
          <w:highlight w:val="none"/>
        </w:rPr>
        <w:t>.12询比结束后，</w:t>
      </w:r>
      <w:r>
        <w:rPr>
          <w:rFonts w:hint="eastAsia" w:hAnsi="宋体"/>
          <w:color w:val="auto"/>
          <w:highlight w:val="none"/>
        </w:rPr>
        <w:t>评审委员会</w:t>
      </w:r>
      <w:r>
        <w:rPr>
          <w:rFonts w:hint="eastAsia" w:hAnsi="宋体"/>
          <w:color w:val="auto"/>
          <w:szCs w:val="24"/>
          <w:highlight w:val="none"/>
        </w:rPr>
        <w:t>应当要求所有继续参加询比的供应商在规定时间内提交最终报价，最终报价是供应商响应文件的有效组成部分，成交供应商的最终报价即为签订合同的依据。</w:t>
      </w:r>
    </w:p>
    <w:p>
      <w:pPr>
        <w:spacing w:line="360" w:lineRule="auto"/>
        <w:ind w:firstLine="480" w:firstLineChars="200"/>
        <w:rPr>
          <w:rFonts w:hAnsi="宋体"/>
          <w:color w:val="auto"/>
          <w:highlight w:val="none"/>
        </w:rPr>
      </w:pPr>
      <w:r>
        <w:rPr>
          <w:rFonts w:hint="eastAsia" w:hAnsi="宋体"/>
          <w:color w:val="auto"/>
          <w:szCs w:val="24"/>
          <w:highlight w:val="none"/>
        </w:rPr>
        <w:t>2</w:t>
      </w:r>
      <w:r>
        <w:rPr>
          <w:rFonts w:hAnsi="宋体"/>
          <w:color w:val="auto"/>
          <w:szCs w:val="24"/>
          <w:highlight w:val="none"/>
        </w:rPr>
        <w:t>6</w:t>
      </w:r>
      <w:r>
        <w:rPr>
          <w:rFonts w:hint="eastAsia" w:hAnsi="宋体"/>
          <w:color w:val="auto"/>
          <w:szCs w:val="24"/>
          <w:highlight w:val="none"/>
        </w:rPr>
        <w:t>.13若有效询比报价出现相同的情况，</w:t>
      </w:r>
      <w:r>
        <w:rPr>
          <w:rFonts w:hint="eastAsia" w:hAnsi="宋体"/>
          <w:color w:val="auto"/>
          <w:highlight w:val="none"/>
        </w:rPr>
        <w:t>则采取评审委员会抽签方式确定成交候选供应商。</w:t>
      </w:r>
    </w:p>
    <w:p>
      <w:pPr>
        <w:spacing w:line="360" w:lineRule="auto"/>
        <w:ind w:firstLine="480" w:firstLineChars="200"/>
        <w:rPr>
          <w:rFonts w:hAnsi="宋体" w:cs="宋体"/>
          <w:color w:val="auto"/>
          <w:highlight w:val="none"/>
        </w:rPr>
      </w:pPr>
      <w:r>
        <w:rPr>
          <w:rFonts w:hAnsi="宋体" w:cs="宋体"/>
          <w:color w:val="auto"/>
          <w:highlight w:val="none"/>
        </w:rPr>
        <w:t>26.14无论何种原因</w:t>
      </w:r>
      <w:r>
        <w:rPr>
          <w:rFonts w:hint="eastAsia" w:hAnsi="宋体" w:cs="宋体"/>
          <w:color w:val="auto"/>
          <w:highlight w:val="none"/>
        </w:rPr>
        <w:t>，</w:t>
      </w:r>
      <w:r>
        <w:rPr>
          <w:rFonts w:hAnsi="宋体" w:cs="宋体"/>
          <w:color w:val="auto"/>
          <w:highlight w:val="none"/>
        </w:rPr>
        <w:t>即使</w:t>
      </w:r>
      <w:r>
        <w:rPr>
          <w:rFonts w:hint="eastAsia" w:hAnsi="宋体" w:cs="宋体"/>
          <w:color w:val="auto"/>
          <w:highlight w:val="none"/>
        </w:rPr>
        <w:t>供应商询比</w:t>
      </w:r>
      <w:r>
        <w:rPr>
          <w:rFonts w:hAnsi="宋体" w:cs="宋体"/>
          <w:color w:val="auto"/>
          <w:highlight w:val="none"/>
        </w:rPr>
        <w:t>时携带了证书材料的原件</w:t>
      </w:r>
      <w:r>
        <w:rPr>
          <w:rFonts w:hint="eastAsia" w:hAnsi="宋体" w:cs="宋体"/>
          <w:color w:val="auto"/>
          <w:highlight w:val="none"/>
        </w:rPr>
        <w:t>，</w:t>
      </w:r>
      <w:r>
        <w:rPr>
          <w:rFonts w:hAnsi="宋体" w:cs="宋体"/>
          <w:color w:val="auto"/>
          <w:highlight w:val="none"/>
        </w:rPr>
        <w:t>但</w:t>
      </w:r>
      <w:r>
        <w:rPr>
          <w:rFonts w:hint="eastAsia" w:hAnsi="宋体" w:cs="宋体"/>
          <w:color w:val="auto"/>
          <w:highlight w:val="none"/>
        </w:rPr>
        <w:t>响应</w:t>
      </w:r>
      <w:r>
        <w:rPr>
          <w:rFonts w:hAnsi="宋体" w:cs="宋体"/>
          <w:color w:val="auto"/>
          <w:highlight w:val="none"/>
        </w:rPr>
        <w:t>文件中未提供与之内容完全一致的</w:t>
      </w:r>
      <w:r>
        <w:rPr>
          <w:rFonts w:hint="eastAsia" w:hAnsi="宋体" w:cs="宋体"/>
          <w:color w:val="auto"/>
          <w:highlight w:val="none"/>
        </w:rPr>
        <w:t>扫描件</w:t>
      </w:r>
      <w:r>
        <w:rPr>
          <w:rFonts w:hAnsi="宋体" w:cs="宋体"/>
          <w:color w:val="auto"/>
          <w:highlight w:val="none"/>
        </w:rPr>
        <w:t>或影印件的</w:t>
      </w:r>
      <w:r>
        <w:rPr>
          <w:rFonts w:hint="eastAsia" w:hAnsi="宋体" w:cs="宋体"/>
          <w:color w:val="auto"/>
          <w:highlight w:val="none"/>
        </w:rPr>
        <w:t>，</w:t>
      </w:r>
      <w:r>
        <w:rPr>
          <w:rFonts w:hint="eastAsia" w:hAnsi="宋体"/>
          <w:color w:val="auto"/>
          <w:highlight w:val="none"/>
        </w:rPr>
        <w:t>评审委员会</w:t>
      </w:r>
      <w:r>
        <w:rPr>
          <w:rFonts w:hAnsi="宋体" w:cs="宋体"/>
          <w:color w:val="auto"/>
          <w:highlight w:val="none"/>
        </w:rPr>
        <w:t>可以视同其未提供</w:t>
      </w:r>
      <w:r>
        <w:rPr>
          <w:rFonts w:hint="eastAsia" w:hAnsi="宋体" w:cs="宋体"/>
          <w:color w:val="auto"/>
          <w:highlight w:val="none"/>
        </w:rPr>
        <w:t>。</w:t>
      </w:r>
    </w:p>
    <w:p>
      <w:pPr>
        <w:spacing w:line="360" w:lineRule="auto"/>
        <w:ind w:firstLine="480" w:firstLineChars="200"/>
        <w:rPr>
          <w:rFonts w:hAnsi="宋体"/>
          <w:bCs/>
          <w:color w:val="auto"/>
          <w:highlight w:val="none"/>
        </w:rPr>
      </w:pPr>
      <w:r>
        <w:rPr>
          <w:rFonts w:hAnsi="宋体" w:cs="宋体"/>
          <w:color w:val="auto"/>
          <w:highlight w:val="none"/>
        </w:rPr>
        <w:t>26.15</w:t>
      </w:r>
      <w:r>
        <w:rPr>
          <w:rFonts w:hint="eastAsia" w:hAnsi="宋体"/>
          <w:color w:val="auto"/>
          <w:highlight w:val="none"/>
        </w:rPr>
        <w:t>评审委员会</w:t>
      </w:r>
      <w:r>
        <w:rPr>
          <w:rFonts w:hAnsi="宋体" w:cs="宋体"/>
          <w:color w:val="auto"/>
          <w:highlight w:val="none"/>
        </w:rPr>
        <w:t>决定</w:t>
      </w:r>
      <w:r>
        <w:rPr>
          <w:rFonts w:hint="eastAsia" w:hAnsi="宋体" w:cs="宋体"/>
          <w:color w:val="auto"/>
          <w:highlight w:val="none"/>
        </w:rPr>
        <w:t>响应</w:t>
      </w:r>
      <w:r>
        <w:rPr>
          <w:rFonts w:hAnsi="宋体" w:cs="宋体"/>
          <w:color w:val="auto"/>
          <w:highlight w:val="none"/>
        </w:rPr>
        <w:t>文件的响应性及符合性只根据</w:t>
      </w:r>
      <w:r>
        <w:rPr>
          <w:rFonts w:hint="eastAsia" w:hAnsi="宋体" w:cs="宋体"/>
          <w:color w:val="auto"/>
          <w:highlight w:val="none"/>
        </w:rPr>
        <w:t>响应</w:t>
      </w:r>
      <w:r>
        <w:rPr>
          <w:rFonts w:hAnsi="宋体" w:cs="宋体"/>
          <w:color w:val="auto"/>
          <w:highlight w:val="none"/>
        </w:rPr>
        <w:t>文件本身的内容</w:t>
      </w:r>
      <w:r>
        <w:rPr>
          <w:rFonts w:hint="eastAsia" w:hAnsi="宋体" w:cs="宋体"/>
          <w:color w:val="auto"/>
          <w:highlight w:val="none"/>
        </w:rPr>
        <w:t>，</w:t>
      </w:r>
      <w:r>
        <w:rPr>
          <w:rFonts w:hAnsi="宋体" w:cs="宋体"/>
          <w:color w:val="auto"/>
          <w:highlight w:val="none"/>
        </w:rPr>
        <w:t>而不寻求其他外部证据。</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2</w:t>
      </w:r>
      <w:r>
        <w:rPr>
          <w:rFonts w:hAnsi="宋体"/>
          <w:b/>
          <w:bCs/>
          <w:color w:val="auto"/>
          <w:szCs w:val="24"/>
          <w:highlight w:val="none"/>
        </w:rPr>
        <w:t>7</w:t>
      </w:r>
      <w:r>
        <w:rPr>
          <w:rFonts w:hint="eastAsia" w:hAnsi="宋体"/>
          <w:b/>
          <w:color w:val="auto"/>
          <w:szCs w:val="24"/>
          <w:highlight w:val="none"/>
        </w:rPr>
        <w:t>.</w:t>
      </w:r>
      <w:r>
        <w:rPr>
          <w:rFonts w:hint="eastAsia" w:hAnsi="宋体"/>
          <w:b/>
          <w:bCs/>
          <w:color w:val="auto"/>
          <w:szCs w:val="24"/>
          <w:highlight w:val="none"/>
        </w:rPr>
        <w:t>终止询比</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7</w:t>
      </w:r>
      <w:r>
        <w:rPr>
          <w:rFonts w:hint="eastAsia" w:hAnsi="宋体"/>
          <w:color w:val="auto"/>
          <w:szCs w:val="24"/>
          <w:highlight w:val="none"/>
        </w:rPr>
        <w:t>.1出现下列情况之一时，</w:t>
      </w:r>
      <w:r>
        <w:rPr>
          <w:rFonts w:hint="eastAsia" w:hAnsi="宋体"/>
          <w:bCs/>
          <w:color w:val="auto"/>
          <w:szCs w:val="24"/>
          <w:highlight w:val="none"/>
        </w:rPr>
        <w:t>代理机构</w:t>
      </w:r>
      <w:r>
        <w:rPr>
          <w:rFonts w:hint="eastAsia" w:hAnsi="宋体"/>
          <w:color w:val="auto"/>
          <w:szCs w:val="24"/>
          <w:highlight w:val="none"/>
        </w:rPr>
        <w:t>有权宣布终止询比，并将理由通知所有供应商：</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7</w:t>
      </w:r>
      <w:r>
        <w:rPr>
          <w:rFonts w:hint="eastAsia" w:hAnsi="宋体"/>
          <w:color w:val="auto"/>
          <w:szCs w:val="24"/>
          <w:highlight w:val="none"/>
        </w:rPr>
        <w:t>.1.1有效供应商数量不足，导致本次询比缺乏竞争的；</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7</w:t>
      </w:r>
      <w:r>
        <w:rPr>
          <w:rFonts w:hint="eastAsia" w:hAnsi="宋体"/>
          <w:color w:val="auto"/>
          <w:szCs w:val="24"/>
          <w:highlight w:val="none"/>
        </w:rPr>
        <w:t>.1.2出现影响询比公正的违法、违规行为的；</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7</w:t>
      </w:r>
      <w:r>
        <w:rPr>
          <w:rFonts w:hint="eastAsia" w:hAnsi="宋体"/>
          <w:color w:val="auto"/>
          <w:szCs w:val="24"/>
          <w:highlight w:val="none"/>
        </w:rPr>
        <w:t>.1.3因重大变故，询比任务取消的；</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7</w:t>
      </w:r>
      <w:r>
        <w:rPr>
          <w:rFonts w:hint="eastAsia" w:hAnsi="宋体"/>
          <w:color w:val="auto"/>
          <w:szCs w:val="24"/>
          <w:highlight w:val="none"/>
        </w:rPr>
        <w:t>.1.4政府采购法律法规规定的其他情形。</w:t>
      </w:r>
    </w:p>
    <w:p>
      <w:pPr>
        <w:spacing w:line="360" w:lineRule="auto"/>
        <w:ind w:firstLine="482" w:firstLineChars="200"/>
        <w:rPr>
          <w:rFonts w:hAnsi="宋体"/>
          <w:b/>
          <w:bCs/>
          <w:color w:val="auto"/>
          <w:szCs w:val="24"/>
          <w:highlight w:val="none"/>
        </w:rPr>
      </w:pPr>
      <w:r>
        <w:rPr>
          <w:rFonts w:hint="eastAsia" w:hAnsi="宋体"/>
          <w:b/>
          <w:bCs/>
          <w:color w:val="auto"/>
          <w:szCs w:val="24"/>
          <w:highlight w:val="none"/>
        </w:rPr>
        <w:t>2</w:t>
      </w:r>
      <w:r>
        <w:rPr>
          <w:rFonts w:hAnsi="宋体"/>
          <w:b/>
          <w:bCs/>
          <w:color w:val="auto"/>
          <w:szCs w:val="24"/>
          <w:highlight w:val="none"/>
        </w:rPr>
        <w:t>8</w:t>
      </w:r>
      <w:r>
        <w:rPr>
          <w:rFonts w:hint="eastAsia" w:hAnsi="宋体"/>
          <w:b/>
          <w:color w:val="auto"/>
          <w:szCs w:val="24"/>
          <w:highlight w:val="none"/>
        </w:rPr>
        <w:t>.</w:t>
      </w:r>
      <w:r>
        <w:rPr>
          <w:rFonts w:hint="eastAsia" w:hAnsi="宋体"/>
          <w:b/>
          <w:bCs/>
          <w:color w:val="auto"/>
          <w:szCs w:val="24"/>
          <w:highlight w:val="none"/>
        </w:rPr>
        <w:t>二次询比</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8</w:t>
      </w:r>
      <w:r>
        <w:rPr>
          <w:rFonts w:hint="eastAsia" w:hAnsi="宋体"/>
          <w:color w:val="auto"/>
          <w:szCs w:val="24"/>
          <w:highlight w:val="none"/>
        </w:rPr>
        <w:t>.1项目终止询比后，</w:t>
      </w:r>
      <w:r>
        <w:rPr>
          <w:rFonts w:hint="eastAsia" w:hAnsi="宋体"/>
          <w:bCs/>
          <w:color w:val="auto"/>
          <w:szCs w:val="24"/>
          <w:highlight w:val="none"/>
        </w:rPr>
        <w:t>代理机构</w:t>
      </w:r>
      <w:r>
        <w:rPr>
          <w:rFonts w:hint="eastAsia" w:hAnsi="宋体"/>
          <w:color w:val="auto"/>
          <w:szCs w:val="24"/>
          <w:highlight w:val="none"/>
        </w:rPr>
        <w:t>可能发布二次公告（询比邀请），进行二次询比。</w:t>
      </w:r>
    </w:p>
    <w:p>
      <w:pPr>
        <w:spacing w:line="360" w:lineRule="auto"/>
        <w:ind w:firstLine="480" w:firstLineChars="200"/>
        <w:rPr>
          <w:rFonts w:hAnsi="宋体"/>
          <w:color w:val="auto"/>
          <w:szCs w:val="24"/>
          <w:highlight w:val="none"/>
        </w:rPr>
      </w:pPr>
      <w:r>
        <w:rPr>
          <w:rFonts w:hint="eastAsia" w:hAnsi="宋体"/>
          <w:color w:val="auto"/>
          <w:szCs w:val="24"/>
          <w:highlight w:val="none"/>
        </w:rPr>
        <w:t>前款所述“二次”，系指项目终止询比后的重新公告及询比，并不仅限于项目的第二次公告及询比。</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8</w:t>
      </w:r>
      <w:r>
        <w:rPr>
          <w:rFonts w:hint="eastAsia" w:hAnsi="宋体"/>
          <w:color w:val="auto"/>
          <w:szCs w:val="24"/>
          <w:highlight w:val="none"/>
        </w:rPr>
        <w:t>.2二次询比可能调整前次询比的各项规定及要求，包括询比方式、项目预算、供应商资格、付款方式、询比需求、评审办法等。供应商参与二次询比，应及时获取二次询比采购文件，以二次询比采购文件为依据，编制二次响应文件。</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8</w:t>
      </w:r>
      <w:r>
        <w:rPr>
          <w:rFonts w:hint="eastAsia" w:hAnsi="宋体"/>
          <w:color w:val="auto"/>
          <w:szCs w:val="24"/>
          <w:highlight w:val="none"/>
        </w:rPr>
        <w:t>.3二次询比结果公示结束前，代理机构原则上不予退还供应商前次询比缴纳的询比保证金。供应商提出书面说明不再参与二次询比并要求退还询比保证金的，予以退还。</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8</w:t>
      </w:r>
      <w:r>
        <w:rPr>
          <w:rFonts w:hint="eastAsia" w:hAnsi="宋体"/>
          <w:color w:val="auto"/>
          <w:szCs w:val="24"/>
          <w:highlight w:val="none"/>
        </w:rPr>
        <w:t>.4前次询比已按规定缴纳询比保证金的，无须再次缴纳询比保证金。但是二次询比较前次询比约定询比保证金金额高的除外。</w:t>
      </w:r>
    </w:p>
    <w:p>
      <w:pPr>
        <w:pStyle w:val="4"/>
        <w:spacing w:before="0" w:after="0" w:line="360" w:lineRule="auto"/>
        <w:ind w:firstLine="482" w:firstLineChars="200"/>
        <w:rPr>
          <w:rFonts w:ascii="宋体" w:hAnsi="宋体" w:eastAsia="宋体"/>
          <w:color w:val="auto"/>
          <w:sz w:val="24"/>
          <w:szCs w:val="24"/>
          <w:highlight w:val="none"/>
        </w:rPr>
      </w:pPr>
      <w:bookmarkStart w:id="106" w:name="_Toc14088"/>
      <w:bookmarkStart w:id="107" w:name="_Toc8276"/>
      <w:bookmarkStart w:id="108" w:name="_Toc25141"/>
      <w:bookmarkStart w:id="109" w:name="_Toc12212"/>
      <w:bookmarkStart w:id="110" w:name="_Toc492637216"/>
      <w:bookmarkStart w:id="111" w:name="_Toc28654"/>
      <w:r>
        <w:rPr>
          <w:rFonts w:hint="eastAsia" w:ascii="宋体" w:hAnsi="宋体" w:eastAsia="宋体"/>
          <w:color w:val="auto"/>
          <w:sz w:val="24"/>
          <w:szCs w:val="24"/>
          <w:highlight w:val="none"/>
        </w:rPr>
        <w:t>（六）确定成交供应商与签订合同</w:t>
      </w:r>
      <w:bookmarkEnd w:id="106"/>
      <w:bookmarkEnd w:id="107"/>
      <w:bookmarkEnd w:id="108"/>
      <w:bookmarkEnd w:id="109"/>
      <w:bookmarkEnd w:id="110"/>
      <w:bookmarkEnd w:id="111"/>
    </w:p>
    <w:p>
      <w:pPr>
        <w:spacing w:line="360" w:lineRule="auto"/>
        <w:ind w:firstLine="482" w:firstLineChars="200"/>
        <w:rPr>
          <w:rFonts w:hAnsi="宋体"/>
          <w:b/>
          <w:color w:val="auto"/>
          <w:szCs w:val="24"/>
          <w:highlight w:val="none"/>
        </w:rPr>
      </w:pPr>
      <w:r>
        <w:rPr>
          <w:rFonts w:hint="eastAsia" w:hAnsi="宋体"/>
          <w:b/>
          <w:color w:val="auto"/>
          <w:szCs w:val="24"/>
          <w:highlight w:val="none"/>
        </w:rPr>
        <w:t>2</w:t>
      </w:r>
      <w:r>
        <w:rPr>
          <w:rFonts w:hAnsi="宋体"/>
          <w:b/>
          <w:color w:val="auto"/>
          <w:szCs w:val="24"/>
          <w:highlight w:val="none"/>
        </w:rPr>
        <w:t>9</w:t>
      </w:r>
      <w:r>
        <w:rPr>
          <w:rFonts w:hint="eastAsia" w:hAnsi="宋体"/>
          <w:b/>
          <w:color w:val="auto"/>
          <w:szCs w:val="24"/>
          <w:highlight w:val="none"/>
        </w:rPr>
        <w:t>.确定成交供应商</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9</w:t>
      </w:r>
      <w:r>
        <w:rPr>
          <w:rFonts w:hint="eastAsia" w:hAnsi="宋体"/>
          <w:color w:val="auto"/>
          <w:szCs w:val="24"/>
          <w:highlight w:val="none"/>
        </w:rPr>
        <w:t>.1</w:t>
      </w:r>
      <w:r>
        <w:rPr>
          <w:rFonts w:hint="eastAsia" w:hAnsi="宋体"/>
          <w:color w:val="auto"/>
          <w:highlight w:val="none"/>
        </w:rPr>
        <w:t>评审委员会</w:t>
      </w:r>
      <w:r>
        <w:rPr>
          <w:rFonts w:hint="eastAsia" w:hAnsi="宋体"/>
          <w:color w:val="auto"/>
          <w:szCs w:val="24"/>
          <w:highlight w:val="none"/>
        </w:rPr>
        <w:t>根据详细评审的结果确定成交候选供应商，并标明排列顺序。排名第一的成交候选供应商经采购人确定为成交供应商后，由</w:t>
      </w:r>
      <w:r>
        <w:rPr>
          <w:rFonts w:hint="eastAsia" w:hAnsi="宋体"/>
          <w:bCs/>
          <w:color w:val="auto"/>
          <w:szCs w:val="24"/>
          <w:highlight w:val="none"/>
        </w:rPr>
        <w:t>代理机构</w:t>
      </w:r>
      <w:r>
        <w:rPr>
          <w:rFonts w:hint="eastAsia" w:hAnsi="宋体"/>
          <w:color w:val="auto"/>
          <w:szCs w:val="24"/>
          <w:highlight w:val="none"/>
        </w:rPr>
        <w:t>在指定媒体上予以公告。</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9</w:t>
      </w:r>
      <w:r>
        <w:rPr>
          <w:rFonts w:hint="eastAsia" w:hAnsi="宋体"/>
          <w:color w:val="auto"/>
          <w:szCs w:val="24"/>
          <w:highlight w:val="none"/>
        </w:rPr>
        <w:t>.2如</w:t>
      </w:r>
      <w:r>
        <w:rPr>
          <w:rFonts w:hint="eastAsia" w:hAnsi="宋体"/>
          <w:color w:val="auto"/>
          <w:highlight w:val="none"/>
        </w:rPr>
        <w:t>评审委员会</w:t>
      </w:r>
      <w:r>
        <w:rPr>
          <w:rFonts w:hint="eastAsia" w:hAnsi="宋体"/>
          <w:color w:val="auto"/>
          <w:szCs w:val="24"/>
          <w:highlight w:val="none"/>
        </w:rPr>
        <w:t>认为有必要，可以对排名第一的成交候选供应商就响应文件所提供的内容是否符合询比采购文件的要求进行履约能力检查。如果确定排名第一的成交候选供应商无法履行合同，将依次对其他成交候选供应商进行类似的审查。</w:t>
      </w:r>
    </w:p>
    <w:p>
      <w:pPr>
        <w:spacing w:line="360" w:lineRule="auto"/>
        <w:ind w:firstLine="480" w:firstLineChars="200"/>
        <w:rPr>
          <w:rFonts w:hAnsi="宋体"/>
          <w:color w:val="auto"/>
          <w:szCs w:val="24"/>
          <w:highlight w:val="none"/>
        </w:rPr>
      </w:pPr>
      <w:r>
        <w:rPr>
          <w:rFonts w:hint="eastAsia" w:hAnsi="宋体"/>
          <w:color w:val="auto"/>
          <w:szCs w:val="24"/>
          <w:highlight w:val="none"/>
        </w:rPr>
        <w:t>排名第一的成交候选供应商放弃成交、不按照询比采购文件要求提交履约保证金、无故不能履行合同，或者被查实存在影响成交结果的违法行为等情形，不符合成交条件的，采购人可以按照</w:t>
      </w:r>
      <w:r>
        <w:rPr>
          <w:rFonts w:hint="eastAsia" w:hAnsi="宋体"/>
          <w:color w:val="auto"/>
          <w:highlight w:val="none"/>
        </w:rPr>
        <w:t>评审委员会</w:t>
      </w:r>
      <w:r>
        <w:rPr>
          <w:rFonts w:hint="eastAsia" w:hAnsi="宋体"/>
          <w:color w:val="auto"/>
          <w:szCs w:val="24"/>
          <w:highlight w:val="none"/>
        </w:rPr>
        <w:t>提出的成交候选供应商名单排序依次确定其他成交候选供应商为成交供应商，也可以重新询比。</w:t>
      </w:r>
    </w:p>
    <w:p>
      <w:pPr>
        <w:spacing w:line="360" w:lineRule="auto"/>
        <w:ind w:firstLine="470" w:firstLineChars="196"/>
        <w:rPr>
          <w:rFonts w:hAnsi="宋体"/>
          <w:color w:val="auto"/>
          <w:highlight w:val="none"/>
        </w:rPr>
      </w:pPr>
      <w:r>
        <w:rPr>
          <w:rFonts w:hint="eastAsia" w:ascii="Arial" w:hAnsi="Arial" w:cs="Arial"/>
          <w:bCs/>
          <w:color w:val="auto"/>
          <w:highlight w:val="none"/>
        </w:rPr>
        <w:t>供应商对询比过程、成交结果提出质疑，质疑成立且影响或者可能影响成交结果的，合格供应商符合法定数量时，可以从合格的成交候选供应商中另行确定成交供应商的，应当依法另行确定成交供应商；否则应当重新询比。</w:t>
      </w:r>
    </w:p>
    <w:p>
      <w:pPr>
        <w:spacing w:line="360" w:lineRule="auto"/>
        <w:ind w:firstLine="480" w:firstLineChars="200"/>
        <w:rPr>
          <w:rFonts w:hAnsi="宋体"/>
          <w:color w:val="auto"/>
          <w:szCs w:val="24"/>
          <w:highlight w:val="none"/>
        </w:rPr>
      </w:pPr>
      <w:r>
        <w:rPr>
          <w:rFonts w:hint="eastAsia" w:hAnsi="宋体"/>
          <w:color w:val="auto"/>
          <w:szCs w:val="24"/>
          <w:highlight w:val="none"/>
        </w:rPr>
        <w:t>2</w:t>
      </w:r>
      <w:r>
        <w:rPr>
          <w:rFonts w:hAnsi="宋体"/>
          <w:color w:val="auto"/>
          <w:szCs w:val="24"/>
          <w:highlight w:val="none"/>
        </w:rPr>
        <w:t>9</w:t>
      </w:r>
      <w:r>
        <w:rPr>
          <w:rFonts w:hint="eastAsia" w:hAnsi="宋体"/>
          <w:color w:val="auto"/>
          <w:szCs w:val="24"/>
          <w:highlight w:val="none"/>
        </w:rPr>
        <w:t>.3不接受最终审查或在最终审查过程中提供虚假资料的成交供应商，成交供应商资格将被取消，同时按照政府采购的相关法律、法规予以处罚。</w:t>
      </w:r>
    </w:p>
    <w:p>
      <w:pPr>
        <w:spacing w:line="360" w:lineRule="auto"/>
        <w:ind w:firstLine="482" w:firstLineChars="200"/>
        <w:rPr>
          <w:rFonts w:hAnsi="宋体"/>
          <w:b/>
          <w:color w:val="auto"/>
          <w:szCs w:val="24"/>
          <w:highlight w:val="none"/>
        </w:rPr>
      </w:pPr>
      <w:r>
        <w:rPr>
          <w:rFonts w:hAnsi="宋体"/>
          <w:b/>
          <w:color w:val="auto"/>
          <w:szCs w:val="24"/>
          <w:highlight w:val="none"/>
        </w:rPr>
        <w:t>30</w:t>
      </w:r>
      <w:r>
        <w:rPr>
          <w:rFonts w:hint="eastAsia" w:hAnsi="宋体"/>
          <w:b/>
          <w:color w:val="auto"/>
          <w:szCs w:val="24"/>
          <w:highlight w:val="none"/>
        </w:rPr>
        <w:t>.</w:t>
      </w:r>
      <w:r>
        <w:rPr>
          <w:rFonts w:hint="eastAsia" w:hAnsi="宋体"/>
          <w:b/>
          <w:color w:val="auto"/>
          <w:highlight w:val="none"/>
        </w:rPr>
        <w:t>成交通知书</w:t>
      </w:r>
    </w:p>
    <w:p>
      <w:pPr>
        <w:spacing w:line="360" w:lineRule="auto"/>
        <w:ind w:firstLine="480" w:firstLineChars="200"/>
        <w:rPr>
          <w:rFonts w:hAnsi="宋体"/>
          <w:color w:val="auto"/>
          <w:highlight w:val="none"/>
        </w:rPr>
      </w:pPr>
      <w:r>
        <w:rPr>
          <w:rFonts w:hAnsi="宋体"/>
          <w:color w:val="auto"/>
          <w:highlight w:val="none"/>
        </w:rPr>
        <w:t>30</w:t>
      </w:r>
      <w:r>
        <w:rPr>
          <w:rFonts w:hint="eastAsia" w:hAnsi="宋体"/>
          <w:color w:val="auto"/>
          <w:highlight w:val="none"/>
        </w:rPr>
        <w:t>.1各方均无异议或最终审查结果无误的成交供应商，</w:t>
      </w:r>
      <w:r>
        <w:rPr>
          <w:rFonts w:hint="eastAsia" w:hAnsi="宋体"/>
          <w:bCs/>
          <w:color w:val="auto"/>
          <w:szCs w:val="24"/>
          <w:highlight w:val="none"/>
        </w:rPr>
        <w:t>代理机构</w:t>
      </w:r>
      <w:r>
        <w:rPr>
          <w:rFonts w:hint="eastAsia" w:hAnsi="宋体"/>
          <w:color w:val="auto"/>
          <w:highlight w:val="none"/>
        </w:rPr>
        <w:t>将向其发出成交通知书。成交通知书是合同的组成部分。</w:t>
      </w:r>
    </w:p>
    <w:p>
      <w:pPr>
        <w:spacing w:line="360" w:lineRule="auto"/>
        <w:ind w:firstLine="480" w:firstLineChars="200"/>
        <w:rPr>
          <w:rFonts w:hAnsi="宋体"/>
          <w:color w:val="auto"/>
          <w:highlight w:val="none"/>
        </w:rPr>
      </w:pPr>
      <w:r>
        <w:rPr>
          <w:rFonts w:hAnsi="宋体"/>
          <w:color w:val="auto"/>
          <w:highlight w:val="none"/>
        </w:rPr>
        <w:t>30</w:t>
      </w:r>
      <w:r>
        <w:rPr>
          <w:rFonts w:hint="eastAsia" w:hAnsi="宋体"/>
          <w:color w:val="auto"/>
          <w:highlight w:val="none"/>
        </w:rPr>
        <w:t>.2成交供应商应在成交公告发布之日起3个</w:t>
      </w:r>
      <w:r>
        <w:rPr>
          <w:rFonts w:hAnsi="宋体"/>
          <w:color w:val="auto"/>
          <w:highlight w:val="none"/>
        </w:rPr>
        <w:t>工作日</w:t>
      </w:r>
      <w:r>
        <w:rPr>
          <w:rFonts w:hint="eastAsia" w:hAnsi="宋体"/>
          <w:color w:val="auto"/>
          <w:highlight w:val="none"/>
        </w:rPr>
        <w:t>内委派专人凭介绍信或公司授权书（须携带身份证明）到</w:t>
      </w:r>
      <w:r>
        <w:rPr>
          <w:rFonts w:hint="eastAsia" w:hAnsi="宋体"/>
          <w:bCs/>
          <w:color w:val="auto"/>
          <w:szCs w:val="24"/>
          <w:highlight w:val="none"/>
        </w:rPr>
        <w:t>代理机构</w:t>
      </w:r>
      <w:r>
        <w:rPr>
          <w:rFonts w:hint="eastAsia" w:hAnsi="宋体"/>
          <w:color w:val="auto"/>
          <w:highlight w:val="none"/>
        </w:rPr>
        <w:t>领取成交通知书。</w:t>
      </w:r>
    </w:p>
    <w:p>
      <w:pPr>
        <w:spacing w:line="360" w:lineRule="auto"/>
        <w:ind w:firstLine="472" w:firstLineChars="196"/>
        <w:rPr>
          <w:rFonts w:hAnsi="宋体"/>
          <w:b/>
          <w:color w:val="auto"/>
          <w:highlight w:val="none"/>
        </w:rPr>
      </w:pPr>
      <w:r>
        <w:rPr>
          <w:rFonts w:hint="eastAsia" w:hAnsi="宋体"/>
          <w:b/>
          <w:color w:val="auto"/>
          <w:highlight w:val="none"/>
        </w:rPr>
        <w:t>3</w:t>
      </w:r>
      <w:r>
        <w:rPr>
          <w:rFonts w:hAnsi="宋体"/>
          <w:b/>
          <w:color w:val="auto"/>
          <w:highlight w:val="none"/>
        </w:rPr>
        <w:t>1</w:t>
      </w:r>
      <w:r>
        <w:rPr>
          <w:rFonts w:hint="eastAsia" w:hAnsi="宋体"/>
          <w:b/>
          <w:color w:val="auto"/>
          <w:highlight w:val="none"/>
        </w:rPr>
        <w:t>.成交服务费</w:t>
      </w:r>
    </w:p>
    <w:p>
      <w:pPr>
        <w:spacing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1</w:t>
      </w:r>
      <w:r>
        <w:rPr>
          <w:rFonts w:hint="eastAsia" w:hAnsi="宋体"/>
          <w:color w:val="auto"/>
          <w:highlight w:val="none"/>
        </w:rPr>
        <w:t>.1成交供应商</w:t>
      </w:r>
      <w:r>
        <w:rPr>
          <w:rFonts w:hAnsi="宋体"/>
          <w:color w:val="auto"/>
          <w:highlight w:val="none"/>
        </w:rPr>
        <w:t>在收到</w:t>
      </w:r>
      <w:r>
        <w:rPr>
          <w:rFonts w:hint="eastAsia" w:hAnsi="宋体"/>
          <w:color w:val="auto"/>
          <w:szCs w:val="24"/>
          <w:highlight w:val="none"/>
        </w:rPr>
        <w:t>成交通知书发出</w:t>
      </w:r>
      <w:r>
        <w:rPr>
          <w:rFonts w:hAnsi="宋体"/>
          <w:color w:val="auto"/>
          <w:szCs w:val="24"/>
          <w:highlight w:val="none"/>
        </w:rPr>
        <w:t>之日</w:t>
      </w:r>
      <w:r>
        <w:rPr>
          <w:rFonts w:hint="eastAsia" w:hAnsi="宋体"/>
          <w:color w:val="auto"/>
          <w:szCs w:val="24"/>
          <w:highlight w:val="none"/>
        </w:rPr>
        <w:t>起</w:t>
      </w:r>
      <w:r>
        <w:rPr>
          <w:rFonts w:hint="eastAsia" w:hAnsi="宋体"/>
          <w:color w:val="auto"/>
          <w:highlight w:val="none"/>
        </w:rPr>
        <w:t>3</w:t>
      </w:r>
      <w:r>
        <w:rPr>
          <w:rFonts w:hAnsi="宋体"/>
          <w:color w:val="auto"/>
          <w:highlight w:val="none"/>
        </w:rPr>
        <w:t>个工作日内应向</w:t>
      </w:r>
      <w:r>
        <w:rPr>
          <w:rFonts w:hint="eastAsia" w:hAnsi="宋体"/>
          <w:color w:val="auto"/>
          <w:highlight w:val="none"/>
        </w:rPr>
        <w:t>代理机构交纳成交</w:t>
      </w:r>
      <w:r>
        <w:rPr>
          <w:rFonts w:hAnsi="宋体"/>
          <w:color w:val="auto"/>
          <w:highlight w:val="none"/>
        </w:rPr>
        <w:t>服务费</w:t>
      </w:r>
      <w:r>
        <w:rPr>
          <w:rFonts w:hint="eastAsia" w:hAnsi="宋体"/>
          <w:color w:val="auto"/>
          <w:highlight w:val="none"/>
        </w:rPr>
        <w:t>，</w:t>
      </w:r>
      <w:r>
        <w:rPr>
          <w:rFonts w:hAnsi="宋体"/>
          <w:color w:val="auto"/>
          <w:highlight w:val="none"/>
        </w:rPr>
        <w:t>可以转帐的形式</w:t>
      </w:r>
      <w:r>
        <w:rPr>
          <w:rFonts w:hint="eastAsia" w:hAnsi="宋体"/>
          <w:color w:val="auto"/>
          <w:highlight w:val="none"/>
        </w:rPr>
        <w:t>交纳</w:t>
      </w:r>
      <w:r>
        <w:rPr>
          <w:rFonts w:hAnsi="宋体"/>
          <w:color w:val="auto"/>
          <w:highlight w:val="none"/>
        </w:rPr>
        <w:t>。</w:t>
      </w:r>
    </w:p>
    <w:p>
      <w:pPr>
        <w:spacing w:line="360" w:lineRule="auto"/>
        <w:ind w:firstLine="470" w:firstLineChars="196"/>
        <w:rPr>
          <w:rFonts w:hAnsi="宋体"/>
          <w:color w:val="auto"/>
          <w:highlight w:val="none"/>
        </w:rPr>
      </w:pPr>
      <w:r>
        <w:rPr>
          <w:rFonts w:hint="eastAsia" w:hAnsi="宋体"/>
          <w:color w:val="auto"/>
          <w:highlight w:val="none"/>
        </w:rPr>
        <w:t>3</w:t>
      </w:r>
      <w:r>
        <w:rPr>
          <w:rFonts w:hAnsi="宋体"/>
          <w:color w:val="auto"/>
          <w:highlight w:val="none"/>
        </w:rPr>
        <w:t>1</w:t>
      </w:r>
      <w:r>
        <w:rPr>
          <w:rFonts w:hint="eastAsia" w:hAnsi="宋体"/>
          <w:color w:val="auto"/>
          <w:highlight w:val="none"/>
        </w:rPr>
        <w:t>.2供应商须知前附表约定收取定额成交服务费或免收成交服务费的，从其规定。</w:t>
      </w:r>
    </w:p>
    <w:p>
      <w:pPr>
        <w:spacing w:line="360" w:lineRule="auto"/>
        <w:ind w:firstLine="470" w:firstLineChars="196"/>
        <w:rPr>
          <w:rFonts w:hAnsi="宋体"/>
          <w:bCs/>
          <w:color w:val="auto"/>
          <w:highlight w:val="none"/>
        </w:rPr>
      </w:pPr>
      <w:r>
        <w:rPr>
          <w:rFonts w:hint="eastAsia" w:hAnsi="宋体"/>
          <w:color w:val="auto"/>
          <w:highlight w:val="none"/>
        </w:rPr>
        <w:t>3</w:t>
      </w:r>
      <w:r>
        <w:rPr>
          <w:rFonts w:hAnsi="宋体"/>
          <w:color w:val="auto"/>
          <w:highlight w:val="none"/>
        </w:rPr>
        <w:t>1</w:t>
      </w:r>
      <w:r>
        <w:rPr>
          <w:rFonts w:hint="eastAsia" w:hAnsi="宋体"/>
          <w:color w:val="auto"/>
          <w:highlight w:val="none"/>
        </w:rPr>
        <w:t>.3如果成交供应商未按照上条规定交纳成交服务费，采购人</w:t>
      </w:r>
      <w:r>
        <w:rPr>
          <w:rFonts w:hint="eastAsia" w:hAnsi="宋体"/>
          <w:bCs/>
          <w:color w:val="auto"/>
          <w:highlight w:val="none"/>
        </w:rPr>
        <w:t>有权取消该授标，并不予退还其询比保证金。在此情况下</w:t>
      </w:r>
      <w:r>
        <w:rPr>
          <w:rFonts w:hint="eastAsia" w:hAnsi="宋体"/>
          <w:color w:val="auto"/>
          <w:highlight w:val="none"/>
        </w:rPr>
        <w:t>采购人</w:t>
      </w:r>
      <w:r>
        <w:rPr>
          <w:rFonts w:hint="eastAsia" w:hAnsi="宋体"/>
          <w:bCs/>
          <w:color w:val="auto"/>
          <w:highlight w:val="none"/>
        </w:rPr>
        <w:t>可将该标授予其下一个成交候选供应商，或重新组织询比。</w:t>
      </w:r>
    </w:p>
    <w:p>
      <w:pPr>
        <w:spacing w:line="360" w:lineRule="auto"/>
        <w:ind w:firstLine="482" w:firstLineChars="200"/>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2</w:t>
      </w:r>
      <w:r>
        <w:rPr>
          <w:rFonts w:hint="eastAsia" w:hAnsi="宋体"/>
          <w:b/>
          <w:color w:val="auto"/>
          <w:szCs w:val="24"/>
          <w:highlight w:val="none"/>
        </w:rPr>
        <w:t>.履约保证金</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.1成交供应商在成交通知书发出</w:t>
      </w:r>
      <w:r>
        <w:rPr>
          <w:rFonts w:hAnsi="宋体"/>
          <w:color w:val="auto"/>
          <w:szCs w:val="24"/>
          <w:highlight w:val="none"/>
        </w:rPr>
        <w:t>之日</w:t>
      </w:r>
      <w:r>
        <w:rPr>
          <w:rFonts w:hint="eastAsia" w:hAnsi="宋体"/>
          <w:color w:val="auto"/>
          <w:szCs w:val="24"/>
          <w:highlight w:val="none"/>
        </w:rPr>
        <w:t>起7个工作日内，应按照询比前须知附表规定缴纳履约保证金（成交通知书发出</w:t>
      </w:r>
      <w:r>
        <w:rPr>
          <w:rFonts w:hAnsi="宋体"/>
          <w:color w:val="auto"/>
          <w:szCs w:val="24"/>
          <w:highlight w:val="none"/>
        </w:rPr>
        <w:t>之日</w:t>
      </w:r>
      <w:r>
        <w:rPr>
          <w:rFonts w:hint="eastAsia" w:hAnsi="宋体"/>
          <w:color w:val="auto"/>
          <w:szCs w:val="24"/>
          <w:highlight w:val="none"/>
        </w:rPr>
        <w:t>为</w:t>
      </w:r>
      <w:r>
        <w:rPr>
          <w:rFonts w:hAnsi="宋体"/>
          <w:color w:val="auto"/>
          <w:szCs w:val="24"/>
          <w:highlight w:val="none"/>
        </w:rPr>
        <w:t>成交公告发布之日</w:t>
      </w:r>
      <w:r>
        <w:rPr>
          <w:rFonts w:hint="eastAsia" w:hAnsi="宋体"/>
          <w:color w:val="auto"/>
          <w:szCs w:val="24"/>
          <w:highlight w:val="none"/>
        </w:rPr>
        <w:t>）。</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.2供应商须知前附表约定免收履约保证金的，从其规定。</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.3如果成交供应商未按照上款规定缴纳履约保证金，</w:t>
      </w:r>
      <w:r>
        <w:rPr>
          <w:rFonts w:hint="eastAsia" w:hAnsi="宋体"/>
          <w:bCs/>
          <w:color w:val="auto"/>
          <w:szCs w:val="24"/>
          <w:highlight w:val="none"/>
        </w:rPr>
        <w:t>采购人</w:t>
      </w:r>
      <w:r>
        <w:rPr>
          <w:rFonts w:hint="eastAsia" w:hAnsi="宋体"/>
          <w:color w:val="auto"/>
          <w:szCs w:val="24"/>
          <w:highlight w:val="none"/>
        </w:rPr>
        <w:t>有权取消该授标，并没收其询比保证金。在此情况下采购人可从合格的成交候选供应商中另行确定成交供应商，或者重新开展询比活动。</w:t>
      </w:r>
    </w:p>
    <w:p>
      <w:pPr>
        <w:spacing w:line="360" w:lineRule="auto"/>
        <w:ind w:firstLine="482" w:firstLineChars="200"/>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3</w:t>
      </w:r>
      <w:r>
        <w:rPr>
          <w:rFonts w:hint="eastAsia" w:hAnsi="宋体"/>
          <w:b/>
          <w:color w:val="auto"/>
          <w:szCs w:val="24"/>
          <w:highlight w:val="none"/>
        </w:rPr>
        <w:t>.签订合同</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3</w:t>
      </w:r>
      <w:r>
        <w:rPr>
          <w:rFonts w:hint="eastAsia" w:hAnsi="宋体"/>
          <w:color w:val="auto"/>
          <w:szCs w:val="24"/>
          <w:highlight w:val="none"/>
        </w:rPr>
        <w:t>.1成交供应商应按</w:t>
      </w:r>
      <w:r>
        <w:rPr>
          <w:rFonts w:hint="eastAsia" w:hAnsi="宋体"/>
          <w:bCs/>
          <w:color w:val="auto"/>
          <w:szCs w:val="24"/>
          <w:highlight w:val="none"/>
        </w:rPr>
        <w:t>成交通知书发出之日起</w:t>
      </w:r>
      <w:r>
        <w:rPr>
          <w:rFonts w:hint="eastAsia" w:hAnsi="宋体"/>
          <w:color w:val="auto"/>
          <w:szCs w:val="24"/>
          <w:highlight w:val="none"/>
        </w:rPr>
        <w:t>1</w:t>
      </w:r>
      <w:r>
        <w:rPr>
          <w:rFonts w:hAnsi="宋体"/>
          <w:color w:val="auto"/>
          <w:szCs w:val="24"/>
          <w:highlight w:val="none"/>
        </w:rPr>
        <w:t>0</w:t>
      </w:r>
      <w:r>
        <w:rPr>
          <w:rFonts w:hint="eastAsia" w:hAnsi="宋体"/>
          <w:color w:val="auto"/>
          <w:szCs w:val="24"/>
          <w:highlight w:val="none"/>
        </w:rPr>
        <w:t>个</w:t>
      </w:r>
      <w:r>
        <w:rPr>
          <w:rFonts w:hAnsi="宋体"/>
          <w:color w:val="auto"/>
          <w:szCs w:val="24"/>
          <w:highlight w:val="none"/>
        </w:rPr>
        <w:t>工作日内</w:t>
      </w:r>
      <w:r>
        <w:rPr>
          <w:rFonts w:hint="eastAsia" w:hAnsi="宋体"/>
          <w:color w:val="auto"/>
          <w:szCs w:val="24"/>
          <w:highlight w:val="none"/>
        </w:rPr>
        <w:t>与采购人签订合同。合同签订前成交供应商应向</w:t>
      </w:r>
      <w:r>
        <w:rPr>
          <w:rFonts w:hint="eastAsia" w:hAnsi="宋体"/>
          <w:bCs/>
          <w:color w:val="auto"/>
          <w:szCs w:val="24"/>
          <w:highlight w:val="none"/>
        </w:rPr>
        <w:t>采购人</w:t>
      </w:r>
      <w:r>
        <w:rPr>
          <w:rFonts w:hint="eastAsia" w:hAnsi="宋体"/>
          <w:color w:val="auto"/>
          <w:szCs w:val="24"/>
          <w:highlight w:val="none"/>
        </w:rPr>
        <w:t>出示履约保证金（如有）的缴纳证明。</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3</w:t>
      </w:r>
      <w:r>
        <w:rPr>
          <w:rFonts w:hint="eastAsia" w:hAnsi="宋体"/>
          <w:color w:val="auto"/>
          <w:szCs w:val="24"/>
          <w:highlight w:val="none"/>
        </w:rPr>
        <w:t>.2询比双方应按照询比采购文件、响应文件及询比过程中的有关澄清、说明、或补正文件的内容签订合同，不得擅自变更。合同的标的、价款、质量、履行期限等主要条款应当与询比采购文件和成交供应商的响应文件的内容一致，采购人和成交供应商不得再行订立背离合同实质性内容的其他协议。对任何因双方擅自变更合同引起的问题</w:t>
      </w:r>
      <w:r>
        <w:rPr>
          <w:rFonts w:hint="eastAsia" w:hAnsi="宋体"/>
          <w:bCs/>
          <w:color w:val="auto"/>
          <w:szCs w:val="24"/>
          <w:highlight w:val="none"/>
        </w:rPr>
        <w:t>代理机构</w:t>
      </w:r>
      <w:r>
        <w:rPr>
          <w:rFonts w:hint="eastAsia" w:hAnsi="宋体"/>
          <w:color w:val="auto"/>
          <w:szCs w:val="24"/>
          <w:highlight w:val="none"/>
        </w:rPr>
        <w:t>概不负责，合同风险由双方自行承担。</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3</w:t>
      </w:r>
      <w:r>
        <w:rPr>
          <w:rFonts w:hint="eastAsia" w:hAnsi="宋体"/>
          <w:color w:val="auto"/>
          <w:szCs w:val="24"/>
          <w:highlight w:val="none"/>
        </w:rPr>
        <w:t>.3无论基于何种原因，各项本应作拒绝处理的情形即便未被及时发现而使该供应商进入资格审查、询比、报价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询比，相关的一切损失均由该供应商自行承担。</w:t>
      </w:r>
    </w:p>
    <w:p>
      <w:pPr>
        <w:spacing w:line="360" w:lineRule="auto"/>
        <w:ind w:firstLine="482" w:firstLineChars="200"/>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4</w:t>
      </w:r>
      <w:r>
        <w:rPr>
          <w:rFonts w:hint="eastAsia" w:hAnsi="宋体"/>
          <w:b/>
          <w:color w:val="auto"/>
          <w:szCs w:val="24"/>
          <w:highlight w:val="none"/>
        </w:rPr>
        <w:t>.验收</w:t>
      </w:r>
    </w:p>
    <w:p>
      <w:pPr>
        <w:spacing w:line="360" w:lineRule="auto"/>
        <w:ind w:firstLine="470" w:firstLineChars="196"/>
        <w:rPr>
          <w:rFonts w:hAnsi="宋体"/>
          <w:color w:val="auto"/>
          <w:highlight w:val="none"/>
        </w:rPr>
      </w:pPr>
      <w:r>
        <w:rPr>
          <w:rFonts w:hint="eastAsia" w:hAnsi="宋体"/>
          <w:color w:val="auto"/>
          <w:highlight w:val="none"/>
        </w:rPr>
        <w:t>3</w:t>
      </w:r>
      <w:r>
        <w:rPr>
          <w:rFonts w:hAnsi="宋体"/>
          <w:color w:val="auto"/>
          <w:highlight w:val="none"/>
        </w:rPr>
        <w:t>4</w:t>
      </w:r>
      <w:r>
        <w:rPr>
          <w:rFonts w:hint="eastAsia" w:hAnsi="宋体"/>
          <w:color w:val="auto"/>
          <w:highlight w:val="none"/>
        </w:rPr>
        <w:t>.1采购人</w:t>
      </w:r>
      <w:r>
        <w:rPr>
          <w:rFonts w:hAnsi="宋体"/>
          <w:color w:val="auto"/>
          <w:highlight w:val="none"/>
        </w:rPr>
        <w:t>与</w:t>
      </w:r>
      <w:r>
        <w:rPr>
          <w:rFonts w:hint="eastAsia" w:hAnsi="宋体"/>
          <w:color w:val="auto"/>
          <w:highlight w:val="none"/>
        </w:rPr>
        <w:t>成交供应商</w:t>
      </w:r>
      <w:r>
        <w:rPr>
          <w:rFonts w:hAnsi="宋体"/>
          <w:color w:val="auto"/>
          <w:highlight w:val="none"/>
        </w:rPr>
        <w:t>应当根据合同法的约定依法履行</w:t>
      </w:r>
      <w:r>
        <w:rPr>
          <w:rFonts w:hint="eastAsia" w:hAnsi="宋体"/>
          <w:color w:val="auto"/>
          <w:highlight w:val="none"/>
        </w:rPr>
        <w:t>合同</w:t>
      </w:r>
      <w:r>
        <w:rPr>
          <w:rFonts w:hAnsi="宋体"/>
          <w:color w:val="auto"/>
          <w:highlight w:val="none"/>
        </w:rPr>
        <w:t>义务。</w:t>
      </w:r>
    </w:p>
    <w:p>
      <w:pPr>
        <w:spacing w:line="360" w:lineRule="auto"/>
        <w:ind w:firstLine="470" w:firstLineChars="196"/>
        <w:rPr>
          <w:rFonts w:hAnsi="宋体"/>
          <w:bCs/>
          <w:color w:val="auto"/>
          <w:highlight w:val="none"/>
        </w:rPr>
      </w:pPr>
      <w:r>
        <w:rPr>
          <w:rFonts w:hint="eastAsia" w:hAnsi="宋体"/>
          <w:bCs/>
          <w:color w:val="auto"/>
          <w:highlight w:val="none"/>
        </w:rPr>
        <w:t>询比合同的履行、违约责任和解决争议的方式等适用《中华人民共和国合同法》。</w:t>
      </w:r>
    </w:p>
    <w:p>
      <w:pPr>
        <w:spacing w:line="360" w:lineRule="auto"/>
        <w:ind w:firstLine="470" w:firstLineChars="196"/>
        <w:rPr>
          <w:rFonts w:hAnsi="宋体"/>
          <w:color w:val="auto"/>
          <w:highlight w:val="none"/>
        </w:rPr>
      </w:pPr>
      <w:r>
        <w:rPr>
          <w:rFonts w:hint="eastAsia" w:hAnsi="宋体"/>
          <w:bCs/>
          <w:color w:val="auto"/>
          <w:highlight w:val="none"/>
        </w:rPr>
        <w:t>采购人应当</w:t>
      </w:r>
      <w:r>
        <w:rPr>
          <w:rFonts w:hAnsi="宋体"/>
          <w:bCs/>
          <w:color w:val="auto"/>
          <w:highlight w:val="none"/>
        </w:rPr>
        <w:t>加强对</w:t>
      </w:r>
      <w:r>
        <w:rPr>
          <w:rFonts w:hint="eastAsia" w:hAnsi="宋体"/>
          <w:bCs/>
          <w:color w:val="auto"/>
          <w:highlight w:val="none"/>
        </w:rPr>
        <w:t>成交供应商</w:t>
      </w:r>
      <w:r>
        <w:rPr>
          <w:rFonts w:hAnsi="宋体"/>
          <w:bCs/>
          <w:color w:val="auto"/>
          <w:highlight w:val="none"/>
        </w:rPr>
        <w:t>的履约管理</w:t>
      </w:r>
      <w:r>
        <w:rPr>
          <w:rFonts w:hint="eastAsia" w:hAnsi="宋体"/>
          <w:bCs/>
          <w:color w:val="auto"/>
          <w:highlight w:val="none"/>
        </w:rPr>
        <w:t>，</w:t>
      </w:r>
      <w:r>
        <w:rPr>
          <w:rFonts w:hAnsi="宋体"/>
          <w:bCs/>
          <w:color w:val="auto"/>
          <w:highlight w:val="none"/>
        </w:rPr>
        <w:t>并按照</w:t>
      </w:r>
      <w:r>
        <w:rPr>
          <w:rFonts w:hint="eastAsia" w:hAnsi="宋体"/>
          <w:bCs/>
          <w:color w:val="auto"/>
          <w:highlight w:val="none"/>
        </w:rPr>
        <w:t>询比</w:t>
      </w:r>
      <w:r>
        <w:rPr>
          <w:rFonts w:hAnsi="宋体"/>
          <w:bCs/>
          <w:color w:val="auto"/>
          <w:highlight w:val="none"/>
        </w:rPr>
        <w:t>合同约定</w:t>
      </w:r>
      <w:r>
        <w:rPr>
          <w:rFonts w:hint="eastAsia" w:hAnsi="宋体"/>
          <w:bCs/>
          <w:color w:val="auto"/>
          <w:highlight w:val="none"/>
        </w:rPr>
        <w:t>，</w:t>
      </w:r>
      <w:r>
        <w:rPr>
          <w:rFonts w:hAnsi="宋体"/>
          <w:bCs/>
          <w:color w:val="auto"/>
          <w:highlight w:val="none"/>
        </w:rPr>
        <w:t>及时向</w:t>
      </w:r>
      <w:r>
        <w:rPr>
          <w:rFonts w:hint="eastAsia" w:hAnsi="宋体"/>
          <w:bCs/>
          <w:color w:val="auto"/>
          <w:highlight w:val="none"/>
        </w:rPr>
        <w:t>成交供应商</w:t>
      </w:r>
      <w:r>
        <w:rPr>
          <w:rFonts w:hAnsi="宋体"/>
          <w:bCs/>
          <w:color w:val="auto"/>
          <w:highlight w:val="none"/>
        </w:rPr>
        <w:t>支付资金。</w:t>
      </w:r>
      <w:r>
        <w:rPr>
          <w:rFonts w:hint="eastAsia" w:hAnsi="宋体"/>
          <w:bCs/>
          <w:color w:val="auto"/>
          <w:highlight w:val="none"/>
        </w:rPr>
        <w:t>对于成交供应商</w:t>
      </w:r>
      <w:r>
        <w:rPr>
          <w:rFonts w:hAnsi="宋体"/>
          <w:bCs/>
          <w:color w:val="auto"/>
          <w:highlight w:val="none"/>
        </w:rPr>
        <w:t>违反</w:t>
      </w:r>
      <w:r>
        <w:rPr>
          <w:rFonts w:hint="eastAsia" w:hAnsi="宋体"/>
          <w:bCs/>
          <w:color w:val="auto"/>
          <w:highlight w:val="none"/>
        </w:rPr>
        <w:t>询比</w:t>
      </w:r>
      <w:r>
        <w:rPr>
          <w:rFonts w:hAnsi="宋体"/>
          <w:bCs/>
          <w:color w:val="auto"/>
          <w:highlight w:val="none"/>
        </w:rPr>
        <w:t>合同</w:t>
      </w:r>
      <w:r>
        <w:rPr>
          <w:rFonts w:hint="eastAsia" w:hAnsi="宋体"/>
          <w:bCs/>
          <w:color w:val="auto"/>
          <w:highlight w:val="none"/>
        </w:rPr>
        <w:t>约定</w:t>
      </w:r>
      <w:r>
        <w:rPr>
          <w:rFonts w:hAnsi="宋体"/>
          <w:bCs/>
          <w:color w:val="auto"/>
          <w:highlight w:val="none"/>
        </w:rPr>
        <w:t>的行为</w:t>
      </w:r>
      <w:r>
        <w:rPr>
          <w:rFonts w:hint="eastAsia" w:hAnsi="宋体"/>
          <w:bCs/>
          <w:color w:val="auto"/>
          <w:highlight w:val="none"/>
        </w:rPr>
        <w:t>，采购人</w:t>
      </w:r>
      <w:r>
        <w:rPr>
          <w:rFonts w:hAnsi="宋体"/>
          <w:bCs/>
          <w:color w:val="auto"/>
          <w:highlight w:val="none"/>
        </w:rPr>
        <w:t>应该及时处理</w:t>
      </w:r>
      <w:r>
        <w:rPr>
          <w:rFonts w:hint="eastAsia" w:hAnsi="宋体"/>
          <w:bCs/>
          <w:color w:val="auto"/>
          <w:highlight w:val="none"/>
        </w:rPr>
        <w:t>，依法</w:t>
      </w:r>
      <w:r>
        <w:rPr>
          <w:rFonts w:hAnsi="宋体"/>
          <w:bCs/>
          <w:color w:val="auto"/>
          <w:highlight w:val="none"/>
        </w:rPr>
        <w:t>追究其违约责任。</w:t>
      </w:r>
    </w:p>
    <w:p>
      <w:pPr>
        <w:topLinePunct/>
        <w:spacing w:line="360" w:lineRule="auto"/>
        <w:ind w:firstLine="482" w:firstLineChars="200"/>
        <w:rPr>
          <w:rFonts w:hAnsi="宋体"/>
          <w:b/>
          <w:bCs/>
          <w:color w:val="auto"/>
          <w:szCs w:val="24"/>
          <w:highlight w:val="none"/>
        </w:rPr>
      </w:pPr>
      <w:r>
        <w:rPr>
          <w:rFonts w:hint="eastAsia" w:hAnsi="宋体"/>
          <w:b/>
          <w:bCs/>
          <w:color w:val="auto"/>
          <w:szCs w:val="24"/>
          <w:highlight w:val="none"/>
        </w:rPr>
        <w:t>3</w:t>
      </w:r>
      <w:r>
        <w:rPr>
          <w:rFonts w:hAnsi="宋体"/>
          <w:b/>
          <w:bCs/>
          <w:color w:val="auto"/>
          <w:szCs w:val="24"/>
          <w:highlight w:val="none"/>
        </w:rPr>
        <w:t>5</w:t>
      </w:r>
      <w:r>
        <w:rPr>
          <w:rFonts w:hint="eastAsia" w:hAnsi="宋体"/>
          <w:b/>
          <w:color w:val="auto"/>
          <w:szCs w:val="24"/>
          <w:highlight w:val="none"/>
        </w:rPr>
        <w:t>.</w:t>
      </w:r>
      <w:r>
        <w:rPr>
          <w:rFonts w:hint="eastAsia" w:hAnsi="宋体"/>
          <w:b/>
          <w:bCs/>
          <w:color w:val="auto"/>
          <w:szCs w:val="24"/>
          <w:highlight w:val="none"/>
        </w:rPr>
        <w:t>质疑</w:t>
      </w:r>
    </w:p>
    <w:p>
      <w:pPr>
        <w:topLinePunct/>
        <w:spacing w:line="360" w:lineRule="auto"/>
        <w:ind w:firstLine="480" w:firstLineChars="200"/>
        <w:rPr>
          <w:rFonts w:hAnsi="宋体"/>
          <w:bCs/>
          <w:color w:val="auto"/>
          <w:highlight w:val="none"/>
        </w:rPr>
      </w:pPr>
      <w:r>
        <w:rPr>
          <w:rFonts w:hint="eastAsia" w:hAnsi="宋体"/>
          <w:bCs/>
          <w:color w:val="auto"/>
          <w:highlight w:val="none"/>
        </w:rPr>
        <w:t>3</w:t>
      </w:r>
      <w:r>
        <w:rPr>
          <w:rFonts w:hAnsi="宋体"/>
          <w:bCs/>
          <w:color w:val="auto"/>
          <w:highlight w:val="none"/>
        </w:rPr>
        <w:t>5</w:t>
      </w:r>
      <w:r>
        <w:rPr>
          <w:rFonts w:hint="eastAsia" w:hAnsi="宋体"/>
          <w:bCs/>
          <w:color w:val="auto"/>
          <w:highlight w:val="none"/>
        </w:rPr>
        <w:t>.1质疑人</w:t>
      </w:r>
      <w:r>
        <w:rPr>
          <w:rFonts w:hint="eastAsia" w:hAnsi="宋体"/>
          <w:color w:val="auto"/>
          <w:highlight w:val="none"/>
        </w:rPr>
        <w:t>认为</w:t>
      </w:r>
      <w:r>
        <w:rPr>
          <w:rFonts w:hint="eastAsia" w:ascii="Arial" w:hAnsi="Arial" w:cs="Arial"/>
          <w:color w:val="auto"/>
          <w:highlight w:val="none"/>
        </w:rPr>
        <w:t>询比采购文件</w:t>
      </w:r>
      <w:r>
        <w:rPr>
          <w:rFonts w:hint="eastAsia" w:hAnsi="宋体" w:cs="宋体"/>
          <w:color w:val="auto"/>
          <w:highlight w:val="none"/>
        </w:rPr>
        <w:t>、询比过程、成交结果使自己的权益受到损害的，可以在知道或者应知其权益受到损害之日起7个</w:t>
      </w:r>
      <w:r>
        <w:rPr>
          <w:rFonts w:ascii="Arial" w:hAnsi="Arial" w:cs="Arial"/>
          <w:color w:val="auto"/>
          <w:highlight w:val="none"/>
        </w:rPr>
        <w:t>工作日内</w:t>
      </w:r>
      <w:r>
        <w:rPr>
          <w:rFonts w:hint="eastAsia" w:ascii="Arial" w:hAnsi="Arial" w:cs="Arial"/>
          <w:color w:val="auto"/>
          <w:highlight w:val="none"/>
        </w:rPr>
        <w:t>，</w:t>
      </w:r>
      <w:r>
        <w:rPr>
          <w:rFonts w:ascii="Arial" w:hAnsi="Arial" w:cs="Arial"/>
          <w:color w:val="auto"/>
          <w:highlight w:val="none"/>
        </w:rPr>
        <w:t>向</w:t>
      </w:r>
      <w:r>
        <w:rPr>
          <w:rFonts w:hint="eastAsia" w:ascii="Arial" w:hAnsi="Arial" w:cs="Arial"/>
          <w:color w:val="auto"/>
          <w:highlight w:val="none"/>
        </w:rPr>
        <w:t>采购人或代理机构</w:t>
      </w:r>
      <w:r>
        <w:rPr>
          <w:rFonts w:ascii="Arial" w:hAnsi="Arial" w:cs="Arial"/>
          <w:color w:val="auto"/>
          <w:highlight w:val="none"/>
        </w:rPr>
        <w:t>提出质疑</w:t>
      </w:r>
      <w:r>
        <w:rPr>
          <w:rFonts w:hint="eastAsia" w:hAnsi="宋体"/>
          <w:bCs/>
          <w:color w:val="auto"/>
          <w:highlight w:val="none"/>
        </w:rPr>
        <w:t>。</w:t>
      </w:r>
    </w:p>
    <w:p>
      <w:pPr>
        <w:spacing w:line="360" w:lineRule="auto"/>
        <w:ind w:firstLine="480" w:firstLineChars="200"/>
        <w:rPr>
          <w:rFonts w:hAnsi="宋体"/>
          <w:bCs/>
          <w:color w:val="auto"/>
          <w:highlight w:val="none"/>
        </w:rPr>
      </w:pPr>
      <w:r>
        <w:rPr>
          <w:rFonts w:hint="eastAsia" w:hAnsi="宋体"/>
          <w:bCs/>
          <w:color w:val="auto"/>
          <w:highlight w:val="none"/>
        </w:rPr>
        <w:t>质疑实行实名制，应当有具体的事项及根据，不得进行虚假、恶意质疑，扰乱公共资源交易活动的正常工作秩序。</w:t>
      </w:r>
    </w:p>
    <w:p>
      <w:pPr>
        <w:spacing w:line="360" w:lineRule="auto"/>
        <w:ind w:firstLine="480" w:firstLineChars="200"/>
        <w:rPr>
          <w:rFonts w:hAnsi="宋体"/>
          <w:bCs/>
          <w:color w:val="auto"/>
          <w:highlight w:val="none"/>
        </w:rPr>
      </w:pPr>
      <w:r>
        <w:rPr>
          <w:rFonts w:hint="eastAsia" w:hAnsi="宋体"/>
          <w:bCs/>
          <w:color w:val="auto"/>
          <w:highlight w:val="none"/>
        </w:rPr>
        <w:t>3</w:t>
      </w:r>
      <w:r>
        <w:rPr>
          <w:rFonts w:hAnsi="宋体"/>
          <w:bCs/>
          <w:color w:val="auto"/>
          <w:highlight w:val="none"/>
        </w:rPr>
        <w:t>5</w:t>
      </w:r>
      <w:r>
        <w:rPr>
          <w:rFonts w:hint="eastAsia" w:hAnsi="宋体"/>
          <w:bCs/>
          <w:color w:val="auto"/>
          <w:highlight w:val="none"/>
        </w:rPr>
        <w:t>.2</w:t>
      </w:r>
      <w:r>
        <w:rPr>
          <w:rFonts w:hint="eastAsia" w:ascii="Arial" w:hAnsi="Arial" w:cs="Arial"/>
          <w:color w:val="auto"/>
          <w:highlight w:val="none"/>
        </w:rPr>
        <w:t>质疑人对询比采购文件、询比过程、成交结果的质疑，应当在法定质疑期内一次性提出针对同一询比程序环节的质疑。</w:t>
      </w:r>
    </w:p>
    <w:p>
      <w:pPr>
        <w:spacing w:line="360" w:lineRule="auto"/>
        <w:ind w:firstLine="480" w:firstLineChars="200"/>
        <w:rPr>
          <w:rFonts w:hAnsi="宋体"/>
          <w:bCs/>
          <w:color w:val="auto"/>
          <w:highlight w:val="none"/>
        </w:rPr>
      </w:pPr>
      <w:r>
        <w:rPr>
          <w:rFonts w:hAnsi="宋体"/>
          <w:bCs/>
          <w:color w:val="auto"/>
          <w:highlight w:val="none"/>
        </w:rPr>
        <w:t>35</w:t>
      </w:r>
      <w:r>
        <w:rPr>
          <w:rFonts w:hint="eastAsia" w:hAnsi="宋体"/>
          <w:bCs/>
          <w:color w:val="auto"/>
          <w:highlight w:val="none"/>
        </w:rPr>
        <w:t>.3质疑应以书面形式实名提出，书面质疑材料应当包括以下内容：</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w:t>
      </w:r>
      <w:r>
        <w:rPr>
          <w:rFonts w:hAnsi="宋体"/>
          <w:bCs/>
          <w:color w:val="auto"/>
          <w:szCs w:val="22"/>
          <w:highlight w:val="none"/>
        </w:rPr>
        <w:t>5</w:t>
      </w:r>
      <w:r>
        <w:rPr>
          <w:rFonts w:hint="eastAsia" w:hAnsi="宋体"/>
          <w:bCs/>
          <w:color w:val="auto"/>
          <w:szCs w:val="22"/>
          <w:highlight w:val="none"/>
        </w:rPr>
        <w:t>.3.1质疑人</w:t>
      </w:r>
      <w:r>
        <w:rPr>
          <w:rFonts w:hAnsi="宋体"/>
          <w:bCs/>
          <w:color w:val="auto"/>
          <w:szCs w:val="22"/>
          <w:highlight w:val="none"/>
        </w:rPr>
        <w:t>的姓名或者名称、地址、邮编、联系人及联系电话</w:t>
      </w:r>
      <w:r>
        <w:rPr>
          <w:rFonts w:hint="eastAsia" w:hAnsi="宋体"/>
          <w:bCs/>
          <w:color w:val="auto"/>
          <w:szCs w:val="22"/>
          <w:highlight w:val="none"/>
        </w:rPr>
        <w:t>；</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w:t>
      </w:r>
      <w:r>
        <w:rPr>
          <w:rFonts w:hAnsi="宋体"/>
          <w:bCs/>
          <w:color w:val="auto"/>
          <w:szCs w:val="22"/>
          <w:highlight w:val="none"/>
        </w:rPr>
        <w:t>5</w:t>
      </w:r>
      <w:r>
        <w:rPr>
          <w:rFonts w:hint="eastAsia" w:hAnsi="宋体"/>
          <w:bCs/>
          <w:color w:val="auto"/>
          <w:szCs w:val="22"/>
          <w:highlight w:val="none"/>
        </w:rPr>
        <w:t>.3.2</w:t>
      </w:r>
      <w:r>
        <w:rPr>
          <w:rFonts w:hAnsi="宋体"/>
          <w:bCs/>
          <w:color w:val="auto"/>
          <w:szCs w:val="22"/>
          <w:highlight w:val="none"/>
        </w:rPr>
        <w:t>质疑项目的名称、编号</w:t>
      </w:r>
      <w:r>
        <w:rPr>
          <w:rFonts w:hint="eastAsia" w:hAnsi="宋体"/>
          <w:bCs/>
          <w:color w:val="auto"/>
          <w:szCs w:val="22"/>
          <w:highlight w:val="none"/>
        </w:rPr>
        <w:t>，标段号（如有）；</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w:t>
      </w:r>
      <w:r>
        <w:rPr>
          <w:rFonts w:hAnsi="宋体"/>
          <w:bCs/>
          <w:color w:val="auto"/>
          <w:szCs w:val="22"/>
          <w:highlight w:val="none"/>
        </w:rPr>
        <w:t>5</w:t>
      </w:r>
      <w:r>
        <w:rPr>
          <w:rFonts w:hint="eastAsia" w:hAnsi="宋体"/>
          <w:bCs/>
          <w:color w:val="auto"/>
          <w:szCs w:val="22"/>
          <w:highlight w:val="none"/>
        </w:rPr>
        <w:t>.3.3</w:t>
      </w:r>
      <w:r>
        <w:rPr>
          <w:rFonts w:hAnsi="宋体"/>
          <w:bCs/>
          <w:color w:val="auto"/>
          <w:szCs w:val="22"/>
          <w:highlight w:val="none"/>
        </w:rPr>
        <w:t>具体、明确的质疑事项和与质疑事项相关的请求</w:t>
      </w:r>
      <w:r>
        <w:rPr>
          <w:rFonts w:hint="eastAsia" w:hAnsi="宋体"/>
          <w:bCs/>
          <w:color w:val="auto"/>
          <w:szCs w:val="22"/>
          <w:highlight w:val="none"/>
        </w:rPr>
        <w:t>；</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w:t>
      </w:r>
      <w:r>
        <w:rPr>
          <w:rFonts w:hAnsi="宋体"/>
          <w:bCs/>
          <w:color w:val="auto"/>
          <w:szCs w:val="22"/>
          <w:highlight w:val="none"/>
        </w:rPr>
        <w:t>5</w:t>
      </w:r>
      <w:r>
        <w:rPr>
          <w:rFonts w:hint="eastAsia" w:hAnsi="宋体"/>
          <w:bCs/>
          <w:color w:val="auto"/>
          <w:szCs w:val="22"/>
          <w:highlight w:val="none"/>
        </w:rPr>
        <w:t>.3.4</w:t>
      </w:r>
      <w:r>
        <w:rPr>
          <w:rFonts w:hAnsi="宋体"/>
          <w:bCs/>
          <w:color w:val="auto"/>
          <w:szCs w:val="22"/>
          <w:highlight w:val="none"/>
        </w:rPr>
        <w:t>事实依据</w:t>
      </w:r>
      <w:r>
        <w:rPr>
          <w:rFonts w:hint="eastAsia" w:hAnsi="宋体"/>
          <w:bCs/>
          <w:color w:val="auto"/>
          <w:szCs w:val="22"/>
          <w:highlight w:val="none"/>
        </w:rPr>
        <w:t>；</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w:t>
      </w:r>
      <w:r>
        <w:rPr>
          <w:rFonts w:hAnsi="宋体"/>
          <w:bCs/>
          <w:color w:val="auto"/>
          <w:szCs w:val="22"/>
          <w:highlight w:val="none"/>
        </w:rPr>
        <w:t>5</w:t>
      </w:r>
      <w:r>
        <w:rPr>
          <w:rFonts w:hint="eastAsia" w:hAnsi="宋体"/>
          <w:bCs/>
          <w:color w:val="auto"/>
          <w:szCs w:val="22"/>
          <w:highlight w:val="none"/>
        </w:rPr>
        <w:t>.3.5</w:t>
      </w:r>
      <w:r>
        <w:rPr>
          <w:rFonts w:hAnsi="宋体"/>
          <w:bCs/>
          <w:color w:val="auto"/>
          <w:szCs w:val="22"/>
          <w:highlight w:val="none"/>
        </w:rPr>
        <w:t>必要的法律依据</w:t>
      </w:r>
      <w:r>
        <w:rPr>
          <w:rFonts w:hint="eastAsia" w:hAnsi="宋体"/>
          <w:bCs/>
          <w:color w:val="auto"/>
          <w:szCs w:val="22"/>
          <w:highlight w:val="none"/>
        </w:rPr>
        <w:t>；</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w:t>
      </w:r>
      <w:r>
        <w:rPr>
          <w:rFonts w:hAnsi="宋体"/>
          <w:bCs/>
          <w:color w:val="auto"/>
          <w:szCs w:val="22"/>
          <w:highlight w:val="none"/>
        </w:rPr>
        <w:t>5</w:t>
      </w:r>
      <w:r>
        <w:rPr>
          <w:rFonts w:hint="eastAsia" w:hAnsi="宋体"/>
          <w:bCs/>
          <w:color w:val="auto"/>
          <w:szCs w:val="22"/>
          <w:highlight w:val="none"/>
        </w:rPr>
        <w:t>.3.6</w:t>
      </w:r>
      <w:r>
        <w:rPr>
          <w:rFonts w:hAnsi="宋体"/>
          <w:bCs/>
          <w:color w:val="auto"/>
          <w:szCs w:val="22"/>
          <w:highlight w:val="none"/>
        </w:rPr>
        <w:t>提出质疑的日期</w:t>
      </w:r>
      <w:r>
        <w:rPr>
          <w:rFonts w:hint="eastAsia" w:hAnsi="宋体"/>
          <w:bCs/>
          <w:color w:val="auto"/>
          <w:szCs w:val="22"/>
          <w:highlight w:val="none"/>
        </w:rPr>
        <w:t>。</w:t>
      </w:r>
    </w:p>
    <w:p>
      <w:pPr>
        <w:spacing w:line="360" w:lineRule="auto"/>
        <w:ind w:firstLine="480" w:firstLineChars="200"/>
        <w:rPr>
          <w:rFonts w:ascii="Arial" w:hAnsi="Arial" w:cs="Arial"/>
          <w:bCs/>
          <w:color w:val="auto"/>
          <w:highlight w:val="none"/>
        </w:rPr>
      </w:pPr>
      <w:r>
        <w:rPr>
          <w:rFonts w:hint="eastAsia" w:ascii="Arial" w:hAnsi="Arial" w:cs="Arial"/>
          <w:bCs/>
          <w:color w:val="auto"/>
          <w:highlight w:val="none"/>
        </w:rPr>
        <w:t>供应商</w:t>
      </w:r>
      <w:r>
        <w:rPr>
          <w:rFonts w:ascii="Arial" w:hAnsi="Arial" w:cs="Arial"/>
          <w:bCs/>
          <w:color w:val="auto"/>
          <w:highlight w:val="none"/>
        </w:rPr>
        <w:t>为自然人的</w:t>
      </w:r>
      <w:r>
        <w:rPr>
          <w:rFonts w:hint="eastAsia" w:ascii="Arial" w:hAnsi="Arial" w:cs="Arial"/>
          <w:bCs/>
          <w:color w:val="auto"/>
          <w:highlight w:val="none"/>
        </w:rPr>
        <w:t>，</w:t>
      </w:r>
      <w:r>
        <w:rPr>
          <w:rFonts w:ascii="Arial" w:hAnsi="Arial" w:cs="Arial"/>
          <w:bCs/>
          <w:color w:val="auto"/>
          <w:highlight w:val="none"/>
        </w:rPr>
        <w:t>应当由本人签字；</w:t>
      </w:r>
      <w:r>
        <w:rPr>
          <w:rFonts w:hint="eastAsia" w:ascii="Arial" w:hAnsi="Arial" w:cs="Arial"/>
          <w:bCs/>
          <w:color w:val="auto"/>
          <w:highlight w:val="none"/>
        </w:rPr>
        <w:t>供应商</w:t>
      </w:r>
      <w:r>
        <w:rPr>
          <w:rFonts w:ascii="Arial" w:hAnsi="Arial" w:cs="Arial"/>
          <w:bCs/>
          <w:color w:val="auto"/>
          <w:highlight w:val="none"/>
        </w:rPr>
        <w:t>为法人或者其他组织的</w:t>
      </w:r>
      <w:r>
        <w:rPr>
          <w:rFonts w:hint="eastAsia" w:ascii="Arial" w:hAnsi="Arial" w:cs="Arial"/>
          <w:bCs/>
          <w:color w:val="auto"/>
          <w:highlight w:val="none"/>
        </w:rPr>
        <w:t>，</w:t>
      </w:r>
      <w:r>
        <w:rPr>
          <w:rFonts w:ascii="Arial" w:hAnsi="Arial" w:cs="Arial"/>
          <w:bCs/>
          <w:color w:val="auto"/>
          <w:highlight w:val="none"/>
        </w:rPr>
        <w:t>应当由法定代表人、主要负责人</w:t>
      </w:r>
      <w:r>
        <w:rPr>
          <w:rFonts w:hint="eastAsia" w:ascii="Arial" w:hAnsi="Arial" w:cs="Arial"/>
          <w:bCs/>
          <w:color w:val="auto"/>
          <w:highlight w:val="none"/>
        </w:rPr>
        <w:t>，</w:t>
      </w:r>
      <w:r>
        <w:rPr>
          <w:rFonts w:ascii="Arial" w:hAnsi="Arial" w:cs="Arial"/>
          <w:bCs/>
          <w:color w:val="auto"/>
          <w:highlight w:val="none"/>
        </w:rPr>
        <w:t>或者其授权代表签字或者盖章</w:t>
      </w:r>
      <w:r>
        <w:rPr>
          <w:rFonts w:hint="eastAsia" w:ascii="Arial" w:hAnsi="Arial" w:cs="Arial"/>
          <w:bCs/>
          <w:color w:val="auto"/>
          <w:highlight w:val="none"/>
        </w:rPr>
        <w:t>，</w:t>
      </w:r>
      <w:r>
        <w:rPr>
          <w:rFonts w:ascii="Arial" w:hAnsi="Arial" w:cs="Arial"/>
          <w:bCs/>
          <w:color w:val="auto"/>
          <w:highlight w:val="none"/>
        </w:rPr>
        <w:t>并加盖公章。</w:t>
      </w:r>
    </w:p>
    <w:p>
      <w:pPr>
        <w:spacing w:line="360" w:lineRule="auto"/>
        <w:ind w:firstLine="480" w:firstLineChars="200"/>
        <w:rPr>
          <w:rFonts w:hAnsi="宋体"/>
          <w:bCs/>
          <w:color w:val="auto"/>
          <w:highlight w:val="none"/>
        </w:rPr>
      </w:pPr>
      <w:r>
        <w:rPr>
          <w:rFonts w:hint="eastAsia" w:hAnsi="宋体"/>
          <w:bCs/>
          <w:color w:val="auto"/>
          <w:highlight w:val="none"/>
        </w:rPr>
        <w:t>3</w:t>
      </w:r>
      <w:r>
        <w:rPr>
          <w:rFonts w:hAnsi="宋体"/>
          <w:bCs/>
          <w:color w:val="auto"/>
          <w:highlight w:val="none"/>
        </w:rPr>
        <w:t>5</w:t>
      </w:r>
      <w:r>
        <w:rPr>
          <w:rFonts w:hint="eastAsia" w:hAnsi="宋体"/>
          <w:bCs/>
          <w:color w:val="auto"/>
          <w:highlight w:val="none"/>
        </w:rPr>
        <w:t>.4有下列情形之一的，不予受理：</w:t>
      </w:r>
    </w:p>
    <w:p>
      <w:pPr>
        <w:widowControl/>
        <w:spacing w:line="360" w:lineRule="auto"/>
        <w:ind w:firstLine="480" w:firstLineChars="200"/>
        <w:jc w:val="left"/>
        <w:rPr>
          <w:rFonts w:hAnsi="宋体" w:cs="宋体"/>
          <w:color w:val="auto"/>
          <w:highlight w:val="none"/>
        </w:rPr>
      </w:pPr>
      <w:r>
        <w:rPr>
          <w:rFonts w:hint="eastAsia" w:hAnsi="宋体"/>
          <w:bCs/>
          <w:color w:val="auto"/>
          <w:highlight w:val="none"/>
        </w:rPr>
        <w:t>3</w:t>
      </w:r>
      <w:r>
        <w:rPr>
          <w:rFonts w:hAnsi="宋体"/>
          <w:bCs/>
          <w:color w:val="auto"/>
          <w:highlight w:val="none"/>
        </w:rPr>
        <w:t>5</w:t>
      </w:r>
      <w:r>
        <w:rPr>
          <w:rFonts w:hint="eastAsia" w:hAnsi="宋体" w:cs="宋体"/>
          <w:color w:val="auto"/>
          <w:highlight w:val="none"/>
        </w:rPr>
        <w:t>.4.1提起质疑的主体不是参与该政府采购项目活动的供应商；</w:t>
      </w:r>
    </w:p>
    <w:p>
      <w:pPr>
        <w:widowControl/>
        <w:spacing w:line="360" w:lineRule="auto"/>
        <w:ind w:firstLine="480" w:firstLineChars="200"/>
        <w:jc w:val="left"/>
        <w:rPr>
          <w:rFonts w:hAnsi="宋体" w:cs="宋体"/>
          <w:color w:val="auto"/>
          <w:highlight w:val="none"/>
        </w:rPr>
      </w:pPr>
      <w:r>
        <w:rPr>
          <w:rFonts w:hint="eastAsia" w:hAnsi="宋体"/>
          <w:bCs/>
          <w:color w:val="auto"/>
          <w:highlight w:val="none"/>
        </w:rPr>
        <w:t>3</w:t>
      </w:r>
      <w:r>
        <w:rPr>
          <w:rFonts w:hAnsi="宋体"/>
          <w:bCs/>
          <w:color w:val="auto"/>
          <w:highlight w:val="none"/>
        </w:rPr>
        <w:t>5</w:t>
      </w:r>
      <w:r>
        <w:rPr>
          <w:rFonts w:hint="eastAsia" w:hAnsi="宋体" w:cs="宋体"/>
          <w:color w:val="auto"/>
          <w:highlight w:val="none"/>
        </w:rPr>
        <w:t>.4.2提起质疑的时间超过规定时限的；</w:t>
      </w:r>
    </w:p>
    <w:p>
      <w:pPr>
        <w:widowControl/>
        <w:spacing w:line="360" w:lineRule="auto"/>
        <w:ind w:firstLine="480" w:firstLineChars="200"/>
        <w:jc w:val="left"/>
        <w:rPr>
          <w:rFonts w:hAnsi="宋体" w:cs="宋体"/>
          <w:color w:val="auto"/>
          <w:highlight w:val="none"/>
        </w:rPr>
      </w:pPr>
      <w:r>
        <w:rPr>
          <w:rFonts w:hint="eastAsia" w:hAnsi="宋体"/>
          <w:bCs/>
          <w:color w:val="auto"/>
          <w:highlight w:val="none"/>
        </w:rPr>
        <w:t>3</w:t>
      </w:r>
      <w:r>
        <w:rPr>
          <w:rFonts w:hAnsi="宋体"/>
          <w:bCs/>
          <w:color w:val="auto"/>
          <w:highlight w:val="none"/>
        </w:rPr>
        <w:t>5</w:t>
      </w:r>
      <w:r>
        <w:rPr>
          <w:rFonts w:hint="eastAsia" w:hAnsi="宋体" w:cs="宋体"/>
          <w:color w:val="auto"/>
          <w:highlight w:val="none"/>
        </w:rPr>
        <w:t>.4.3质疑材料不完整的；</w:t>
      </w:r>
    </w:p>
    <w:p>
      <w:pPr>
        <w:widowControl/>
        <w:spacing w:line="360" w:lineRule="auto"/>
        <w:ind w:firstLine="480" w:firstLineChars="200"/>
        <w:jc w:val="left"/>
        <w:rPr>
          <w:rFonts w:hAnsi="宋体" w:cs="宋体"/>
          <w:color w:val="auto"/>
          <w:highlight w:val="none"/>
        </w:rPr>
      </w:pPr>
      <w:r>
        <w:rPr>
          <w:rFonts w:hint="eastAsia" w:hAnsi="宋体"/>
          <w:bCs/>
          <w:color w:val="auto"/>
          <w:highlight w:val="none"/>
        </w:rPr>
        <w:t>3</w:t>
      </w:r>
      <w:r>
        <w:rPr>
          <w:rFonts w:hAnsi="宋体"/>
          <w:bCs/>
          <w:color w:val="auto"/>
          <w:highlight w:val="none"/>
        </w:rPr>
        <w:t>5</w:t>
      </w:r>
      <w:r>
        <w:rPr>
          <w:rFonts w:hint="eastAsia" w:hAnsi="宋体" w:cs="宋体"/>
          <w:color w:val="auto"/>
          <w:highlight w:val="none"/>
        </w:rPr>
        <w:t>.4.4质疑事项含有主观猜测等内容且未提供有效线索、难以查证的；</w:t>
      </w:r>
    </w:p>
    <w:p>
      <w:pPr>
        <w:widowControl/>
        <w:spacing w:line="360" w:lineRule="auto"/>
        <w:ind w:firstLine="480" w:firstLineChars="200"/>
        <w:jc w:val="left"/>
        <w:rPr>
          <w:rFonts w:hAnsi="宋体" w:cs="宋体"/>
          <w:color w:val="auto"/>
          <w:highlight w:val="none"/>
        </w:rPr>
      </w:pPr>
      <w:r>
        <w:rPr>
          <w:rFonts w:hint="eastAsia" w:hAnsi="宋体"/>
          <w:bCs/>
          <w:color w:val="auto"/>
          <w:highlight w:val="none"/>
        </w:rPr>
        <w:t>3</w:t>
      </w:r>
      <w:r>
        <w:rPr>
          <w:rFonts w:hAnsi="宋体"/>
          <w:bCs/>
          <w:color w:val="auto"/>
          <w:highlight w:val="none"/>
        </w:rPr>
        <w:t>5</w:t>
      </w:r>
      <w:r>
        <w:rPr>
          <w:rFonts w:hint="eastAsia" w:hAnsi="宋体" w:cs="宋体"/>
          <w:color w:val="auto"/>
          <w:highlight w:val="none"/>
        </w:rPr>
        <w:t>.4.5对其他供应商的响应文件详细内容质疑，无法提供合法来源渠道的；</w:t>
      </w:r>
    </w:p>
    <w:p>
      <w:pPr>
        <w:widowControl/>
        <w:spacing w:line="360" w:lineRule="auto"/>
        <w:ind w:firstLine="480" w:firstLineChars="200"/>
        <w:jc w:val="left"/>
        <w:rPr>
          <w:rFonts w:ascii="仿宋_GB2312" w:hAnsi="宋体" w:eastAsia="仿宋_GB2312" w:cs="宋体"/>
          <w:color w:val="auto"/>
          <w:highlight w:val="none"/>
        </w:rPr>
      </w:pPr>
      <w:r>
        <w:rPr>
          <w:rFonts w:hint="eastAsia" w:hAnsi="宋体"/>
          <w:bCs/>
          <w:color w:val="auto"/>
          <w:highlight w:val="none"/>
        </w:rPr>
        <w:t>3</w:t>
      </w:r>
      <w:r>
        <w:rPr>
          <w:rFonts w:hAnsi="宋体"/>
          <w:bCs/>
          <w:color w:val="auto"/>
          <w:highlight w:val="none"/>
        </w:rPr>
        <w:t>5</w:t>
      </w:r>
      <w:r>
        <w:rPr>
          <w:rFonts w:hint="eastAsia" w:hAnsi="宋体" w:cs="宋体"/>
          <w:color w:val="auto"/>
          <w:highlight w:val="none"/>
        </w:rPr>
        <w:t>.4.6质疑事项已进入投诉处理、行政复议或行政诉讼程序的。</w:t>
      </w:r>
    </w:p>
    <w:p>
      <w:pPr>
        <w:spacing w:line="360" w:lineRule="auto"/>
        <w:ind w:firstLine="480" w:firstLineChars="200"/>
        <w:rPr>
          <w:rFonts w:hAnsi="宋体"/>
          <w:bCs/>
          <w:color w:val="auto"/>
          <w:highlight w:val="none"/>
        </w:rPr>
      </w:pPr>
      <w:r>
        <w:rPr>
          <w:rFonts w:hint="eastAsia" w:hAnsi="宋体"/>
          <w:bCs/>
          <w:color w:val="auto"/>
          <w:highlight w:val="none"/>
        </w:rPr>
        <w:t>3</w:t>
      </w:r>
      <w:r>
        <w:rPr>
          <w:rFonts w:hAnsi="宋体"/>
          <w:bCs/>
          <w:color w:val="auto"/>
          <w:highlight w:val="none"/>
        </w:rPr>
        <w:t>5</w:t>
      </w:r>
      <w:r>
        <w:rPr>
          <w:rFonts w:hint="eastAsia" w:hAnsi="宋体"/>
          <w:bCs/>
          <w:color w:val="auto"/>
          <w:highlight w:val="none"/>
        </w:rPr>
        <w:t>.5经审查符合质疑条件的，自收到质疑之日起即为受理。采购人或代理机构将在质疑受理后7个工作日内作出答复或相关处理决定（需要检验、检测、鉴定、专家评审的，所需时间不计算在内），并以书面形式通知质疑人，答复的内容不得涉及商业秘密。</w:t>
      </w:r>
    </w:p>
    <w:p>
      <w:pPr>
        <w:spacing w:line="360" w:lineRule="auto"/>
        <w:ind w:firstLine="480" w:firstLineChars="200"/>
        <w:rPr>
          <w:rFonts w:hAnsi="宋体"/>
          <w:bCs/>
          <w:color w:val="auto"/>
          <w:highlight w:val="none"/>
        </w:rPr>
      </w:pPr>
      <w:r>
        <w:rPr>
          <w:rFonts w:hint="eastAsia" w:hAnsi="宋体"/>
          <w:bCs/>
          <w:color w:val="auto"/>
          <w:highlight w:val="none"/>
        </w:rPr>
        <w:t>3</w:t>
      </w:r>
      <w:r>
        <w:rPr>
          <w:rFonts w:hAnsi="宋体"/>
          <w:bCs/>
          <w:color w:val="auto"/>
          <w:highlight w:val="none"/>
        </w:rPr>
        <w:t>5</w:t>
      </w:r>
      <w:r>
        <w:rPr>
          <w:rFonts w:hint="eastAsia" w:hAnsi="宋体"/>
          <w:bCs/>
          <w:color w:val="auto"/>
          <w:highlight w:val="none"/>
        </w:rPr>
        <w:t>.6质疑人在答复期满前撤回质疑的，应由法定代表人或授权代表人签字确认，代理机构即终止质疑处理程序。质疑人不得以同一理由再次提出质疑。</w:t>
      </w:r>
    </w:p>
    <w:p>
      <w:pPr>
        <w:spacing w:line="360" w:lineRule="auto"/>
        <w:ind w:firstLine="480" w:firstLineChars="200"/>
        <w:rPr>
          <w:rFonts w:hAnsi="宋体"/>
          <w:bCs/>
          <w:color w:val="auto"/>
          <w:highlight w:val="none"/>
        </w:rPr>
      </w:pPr>
      <w:r>
        <w:rPr>
          <w:rFonts w:hint="eastAsia" w:hAnsi="宋体"/>
          <w:bCs/>
          <w:color w:val="auto"/>
          <w:highlight w:val="none"/>
        </w:rPr>
        <w:t>质疑人对质疑答复不满意或采购人未在规定时间内做出答复的，可以在规定期限内向安徽省财政厅提起投诉。</w:t>
      </w:r>
    </w:p>
    <w:p>
      <w:pPr>
        <w:spacing w:line="360" w:lineRule="auto"/>
        <w:ind w:firstLine="480" w:firstLineChars="200"/>
        <w:rPr>
          <w:rFonts w:hAnsi="宋体"/>
          <w:bCs/>
          <w:color w:val="auto"/>
          <w:highlight w:val="none"/>
        </w:rPr>
      </w:pPr>
      <w:r>
        <w:rPr>
          <w:rFonts w:hint="eastAsia" w:hAnsi="宋体"/>
          <w:bCs/>
          <w:color w:val="auto"/>
          <w:highlight w:val="none"/>
        </w:rPr>
        <w:t>质疑人应在答复期满后1</w:t>
      </w:r>
      <w:r>
        <w:rPr>
          <w:rFonts w:hAnsi="宋体"/>
          <w:bCs/>
          <w:color w:val="auto"/>
          <w:highlight w:val="none"/>
        </w:rPr>
        <w:t>5</w:t>
      </w:r>
      <w:r>
        <w:rPr>
          <w:rFonts w:hint="eastAsia" w:hAnsi="宋体"/>
          <w:bCs/>
          <w:color w:val="auto"/>
          <w:highlight w:val="none"/>
        </w:rPr>
        <w:t>个工作日内提起投诉。</w:t>
      </w:r>
    </w:p>
    <w:p>
      <w:pPr>
        <w:spacing w:line="360" w:lineRule="auto"/>
        <w:ind w:firstLine="480" w:firstLineChars="200"/>
        <w:rPr>
          <w:rFonts w:hAnsi="宋体"/>
          <w:bCs/>
          <w:color w:val="auto"/>
          <w:highlight w:val="none"/>
        </w:rPr>
      </w:pPr>
      <w:r>
        <w:rPr>
          <w:rFonts w:hint="eastAsia" w:hAnsi="宋体"/>
          <w:bCs/>
          <w:color w:val="auto"/>
          <w:highlight w:val="none"/>
        </w:rPr>
        <w:t>3</w:t>
      </w:r>
      <w:r>
        <w:rPr>
          <w:rFonts w:hAnsi="宋体"/>
          <w:bCs/>
          <w:color w:val="auto"/>
          <w:highlight w:val="none"/>
        </w:rPr>
        <w:t>5</w:t>
      </w:r>
      <w:r>
        <w:rPr>
          <w:rFonts w:hint="eastAsia" w:hAnsi="宋体"/>
          <w:bCs/>
          <w:color w:val="auto"/>
          <w:highlight w:val="none"/>
        </w:rPr>
        <w:t>.7质疑人有下列情形之一的，属于虚假、恶意质疑，采购人将报政府采购监督管理部门予以处理。</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35.7.11年内3次以上质疑均查无实据的；</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35.7.2捏造事实；</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35.7.3提供虚假材料；</w:t>
      </w:r>
    </w:p>
    <w:p>
      <w:pPr>
        <w:spacing w:line="360" w:lineRule="auto"/>
        <w:ind w:firstLine="480" w:firstLineChars="200"/>
        <w:rPr>
          <w:rFonts w:hAnsi="宋体"/>
          <w:bCs/>
          <w:color w:val="auto"/>
          <w:szCs w:val="22"/>
          <w:highlight w:val="none"/>
        </w:rPr>
      </w:pPr>
      <w:r>
        <w:rPr>
          <w:rFonts w:hint="eastAsia" w:hAnsi="宋体"/>
          <w:bCs/>
          <w:color w:val="auto"/>
          <w:szCs w:val="22"/>
          <w:highlight w:val="none"/>
        </w:rPr>
        <w:t>35.7.4以非法手段取得证明材料。证据来源的合法性存在明显疑问，投诉人无法证明其取得方式合法的，视为以非法手段取得证明材料。</w:t>
      </w:r>
    </w:p>
    <w:p>
      <w:pPr>
        <w:spacing w:line="360" w:lineRule="auto"/>
        <w:ind w:firstLine="482" w:firstLineChars="200"/>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6</w:t>
      </w:r>
      <w:r>
        <w:rPr>
          <w:rFonts w:hint="eastAsia" w:hAnsi="宋体"/>
          <w:b/>
          <w:color w:val="auto"/>
          <w:szCs w:val="24"/>
          <w:highlight w:val="none"/>
        </w:rPr>
        <w:t>.未尽事宜</w:t>
      </w:r>
    </w:p>
    <w:p>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6</w:t>
      </w:r>
      <w:r>
        <w:rPr>
          <w:rFonts w:hint="eastAsia" w:hAnsi="宋体"/>
          <w:color w:val="auto"/>
          <w:szCs w:val="24"/>
          <w:highlight w:val="none"/>
        </w:rPr>
        <w:t>.1按相关法律法规的规定执行。</w:t>
      </w:r>
    </w:p>
    <w:p>
      <w:pPr>
        <w:spacing w:line="360" w:lineRule="auto"/>
        <w:ind w:firstLine="482" w:firstLineChars="200"/>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7</w:t>
      </w:r>
      <w:r>
        <w:rPr>
          <w:rFonts w:hint="eastAsia" w:hAnsi="宋体"/>
          <w:b/>
          <w:color w:val="auto"/>
          <w:szCs w:val="24"/>
          <w:highlight w:val="none"/>
        </w:rPr>
        <w:t>.解释权</w:t>
      </w:r>
    </w:p>
    <w:p>
      <w:pPr>
        <w:spacing w:line="360" w:lineRule="auto"/>
        <w:ind w:firstLine="480" w:firstLineChars="200"/>
        <w:rPr>
          <w:rFonts w:hAnsi="宋体"/>
          <w:bCs/>
          <w:color w:val="auto"/>
          <w:szCs w:val="24"/>
          <w:highlight w:val="none"/>
        </w:rPr>
      </w:pPr>
      <w:r>
        <w:rPr>
          <w:rFonts w:hint="eastAsia" w:hAnsi="宋体"/>
          <w:bCs/>
          <w:color w:val="auto"/>
          <w:szCs w:val="24"/>
          <w:highlight w:val="none"/>
        </w:rPr>
        <w:t>3</w:t>
      </w:r>
      <w:r>
        <w:rPr>
          <w:rFonts w:hAnsi="宋体"/>
          <w:bCs/>
          <w:color w:val="auto"/>
          <w:szCs w:val="24"/>
          <w:highlight w:val="none"/>
        </w:rPr>
        <w:t>7</w:t>
      </w:r>
      <w:r>
        <w:rPr>
          <w:rFonts w:hint="eastAsia" w:hAnsi="宋体"/>
          <w:bCs/>
          <w:color w:val="auto"/>
          <w:szCs w:val="24"/>
          <w:highlight w:val="none"/>
        </w:rPr>
        <w:t>.1本询比采购文件的解释权属于代理机构。</w:t>
      </w:r>
      <w:bookmarkEnd w:id="70"/>
    </w:p>
    <w:p>
      <w:pPr>
        <w:spacing w:line="360" w:lineRule="auto"/>
        <w:ind w:firstLine="480" w:firstLineChars="200"/>
        <w:rPr>
          <w:rFonts w:hAnsi="宋体"/>
          <w:bCs/>
          <w:color w:val="auto"/>
          <w:szCs w:val="24"/>
          <w:highlight w:val="none"/>
        </w:rPr>
      </w:pPr>
    </w:p>
    <w:p>
      <w:pPr>
        <w:spacing w:line="360" w:lineRule="auto"/>
        <w:ind w:firstLine="480" w:firstLineChars="200"/>
        <w:rPr>
          <w:rFonts w:hAnsi="宋体"/>
          <w:bCs/>
          <w:color w:val="auto"/>
          <w:szCs w:val="24"/>
          <w:highlight w:val="none"/>
        </w:rPr>
        <w:sectPr>
          <w:pgSz w:w="11906" w:h="16838"/>
          <w:pgMar w:top="1440" w:right="1080" w:bottom="1440" w:left="1080" w:header="851" w:footer="992" w:gutter="0"/>
          <w:cols w:space="720" w:num="1"/>
          <w:titlePg/>
          <w:docGrid w:type="lines" w:linePitch="312" w:charSpace="0"/>
        </w:sectPr>
      </w:pPr>
    </w:p>
    <w:p>
      <w:pPr>
        <w:widowControl/>
        <w:jc w:val="center"/>
        <w:outlineLvl w:val="0"/>
        <w:rPr>
          <w:rFonts w:hAnsi="宋体" w:cs="宋体"/>
          <w:b/>
          <w:color w:val="auto"/>
          <w:sz w:val="28"/>
          <w:szCs w:val="28"/>
          <w:highlight w:val="none"/>
          <w:lang w:bidi="ar"/>
        </w:rPr>
      </w:pPr>
      <w:bookmarkStart w:id="112" w:name="_Hlt509649724"/>
      <w:bookmarkEnd w:id="112"/>
      <w:bookmarkStart w:id="113" w:name="_Hlt510342861"/>
      <w:bookmarkEnd w:id="113"/>
      <w:bookmarkStart w:id="114" w:name="_Hlt509650697"/>
      <w:bookmarkEnd w:id="114"/>
      <w:bookmarkStart w:id="115" w:name="_Toc21375"/>
      <w:bookmarkStart w:id="116" w:name="_Toc13124"/>
      <w:bookmarkStart w:id="117" w:name="_Toc22239"/>
      <w:bookmarkStart w:id="118" w:name="_Toc492637217"/>
      <w:bookmarkStart w:id="119" w:name="_Toc14600"/>
      <w:bookmarkStart w:id="120" w:name="_Toc23406"/>
      <w:bookmarkStart w:id="121" w:name="_Toc220232392"/>
      <w:r>
        <w:rPr>
          <w:rFonts w:hint="eastAsia" w:hAnsi="宋体" w:cs="宋体"/>
          <w:b/>
          <w:color w:val="auto"/>
          <w:sz w:val="28"/>
          <w:szCs w:val="28"/>
          <w:highlight w:val="none"/>
          <w:lang w:bidi="ar"/>
        </w:rPr>
        <w:t>五、评审办法</w:t>
      </w:r>
      <w:bookmarkEnd w:id="115"/>
      <w:bookmarkEnd w:id="116"/>
    </w:p>
    <w:p>
      <w:pPr>
        <w:widowControl/>
        <w:spacing w:line="360" w:lineRule="auto"/>
        <w:jc w:val="left"/>
        <w:rPr>
          <w:color w:val="auto"/>
          <w:szCs w:val="24"/>
          <w:highlight w:val="none"/>
        </w:rPr>
      </w:pPr>
      <w:r>
        <w:rPr>
          <w:rFonts w:hint="eastAsia" w:hAnsi="宋体" w:cs="宋体"/>
          <w:b/>
          <w:color w:val="auto"/>
          <w:szCs w:val="24"/>
          <w:highlight w:val="none"/>
          <w:lang w:bidi="ar"/>
        </w:rPr>
        <w:t>一． 总 则</w:t>
      </w:r>
    </w:p>
    <w:p>
      <w:pPr>
        <w:spacing w:line="360" w:lineRule="auto"/>
        <w:ind w:firstLine="480" w:firstLineChars="200"/>
        <w:rPr>
          <w:color w:val="auto"/>
          <w:szCs w:val="24"/>
          <w:highlight w:val="none"/>
        </w:rPr>
      </w:pPr>
      <w:r>
        <w:rPr>
          <w:rFonts w:hint="eastAsia"/>
          <w:color w:val="auto"/>
          <w:szCs w:val="24"/>
          <w:highlight w:val="none"/>
        </w:rPr>
        <w:t>第一条 为了做好中水淮河规划设计研究有限公司员工活动中心项目的询比工作，保证项目评审工作的正常有序进行，维护采购人、询比供应商的合法权益，依据政府采购法律法规，本着公开、公平、公正的原则，制定本评审办法。</w:t>
      </w:r>
    </w:p>
    <w:p>
      <w:pPr>
        <w:spacing w:line="360" w:lineRule="auto"/>
        <w:ind w:firstLine="480" w:firstLineChars="200"/>
        <w:rPr>
          <w:color w:val="auto"/>
          <w:szCs w:val="24"/>
          <w:highlight w:val="none"/>
        </w:rPr>
      </w:pPr>
      <w:r>
        <w:rPr>
          <w:rFonts w:hint="eastAsia"/>
          <w:color w:val="auto"/>
          <w:szCs w:val="24"/>
          <w:highlight w:val="none"/>
        </w:rPr>
        <w:t>第二条 本项目评审办法采用综合评分法。</w:t>
      </w:r>
    </w:p>
    <w:p>
      <w:pPr>
        <w:spacing w:line="360" w:lineRule="auto"/>
        <w:ind w:firstLine="480" w:firstLineChars="200"/>
        <w:rPr>
          <w:color w:val="auto"/>
          <w:szCs w:val="24"/>
          <w:highlight w:val="none"/>
        </w:rPr>
      </w:pPr>
      <w:r>
        <w:rPr>
          <w:rFonts w:hint="eastAsia"/>
          <w:color w:val="auto"/>
          <w:szCs w:val="24"/>
          <w:highlight w:val="none"/>
        </w:rPr>
        <w:t>第三条 本项目将依法组建不少于3人组成的评审委员会，负责本项目的评审工作。</w:t>
      </w:r>
    </w:p>
    <w:p>
      <w:pPr>
        <w:spacing w:line="360" w:lineRule="auto"/>
        <w:ind w:firstLine="480" w:firstLineChars="200"/>
        <w:rPr>
          <w:color w:val="auto"/>
          <w:szCs w:val="24"/>
          <w:highlight w:val="none"/>
        </w:rPr>
      </w:pPr>
      <w:r>
        <w:rPr>
          <w:rFonts w:hint="eastAsia"/>
          <w:color w:val="auto"/>
          <w:szCs w:val="24"/>
          <w:highlight w:val="none"/>
        </w:rPr>
        <w:t>第四条 评审委员会按照“公平、公正、科学、择优”的原则，评价参加本次询比的供应商所提供的产品价格、性能、质量、服务及其响应文件的符合性及响应性。</w:t>
      </w:r>
    </w:p>
    <w:p>
      <w:pPr>
        <w:spacing w:line="360" w:lineRule="auto"/>
        <w:rPr>
          <w:b/>
          <w:bCs/>
          <w:color w:val="auto"/>
          <w:szCs w:val="24"/>
          <w:highlight w:val="none"/>
        </w:rPr>
      </w:pPr>
      <w:r>
        <w:rPr>
          <w:rFonts w:hint="eastAsia"/>
          <w:b/>
          <w:bCs/>
          <w:color w:val="auto"/>
          <w:szCs w:val="24"/>
          <w:highlight w:val="none"/>
        </w:rPr>
        <w:t>二． 评审程序及评审细则</w:t>
      </w:r>
    </w:p>
    <w:p>
      <w:pPr>
        <w:spacing w:line="360" w:lineRule="auto"/>
        <w:ind w:firstLine="480" w:firstLineChars="200"/>
        <w:rPr>
          <w:color w:val="auto"/>
          <w:szCs w:val="24"/>
          <w:highlight w:val="none"/>
        </w:rPr>
      </w:pPr>
      <w:r>
        <w:rPr>
          <w:rFonts w:hint="eastAsia"/>
          <w:color w:val="auto"/>
          <w:szCs w:val="24"/>
          <w:highlight w:val="none"/>
        </w:rPr>
        <w:t>第五条 评审工作于开标后进行。评标委员会应认真研究询比采购文件，至少应了解和熟悉</w:t>
      </w:r>
    </w:p>
    <w:p>
      <w:pPr>
        <w:spacing w:line="360" w:lineRule="auto"/>
        <w:rPr>
          <w:color w:val="auto"/>
          <w:szCs w:val="24"/>
          <w:highlight w:val="none"/>
        </w:rPr>
      </w:pPr>
      <w:r>
        <w:rPr>
          <w:rFonts w:hint="eastAsia"/>
          <w:color w:val="auto"/>
          <w:szCs w:val="24"/>
          <w:highlight w:val="none"/>
        </w:rPr>
        <w:t>以下内容：</w:t>
      </w:r>
    </w:p>
    <w:p>
      <w:pPr>
        <w:spacing w:line="360" w:lineRule="auto"/>
        <w:ind w:firstLine="480" w:firstLineChars="200"/>
        <w:rPr>
          <w:color w:val="auto"/>
          <w:szCs w:val="24"/>
          <w:highlight w:val="none"/>
        </w:rPr>
      </w:pPr>
      <w:r>
        <w:rPr>
          <w:rFonts w:hint="eastAsia"/>
          <w:color w:val="auto"/>
          <w:szCs w:val="24"/>
          <w:highlight w:val="none"/>
        </w:rPr>
        <w:t>（一）询比的目的；</w:t>
      </w:r>
    </w:p>
    <w:p>
      <w:pPr>
        <w:spacing w:line="360" w:lineRule="auto"/>
        <w:ind w:firstLine="480" w:firstLineChars="200"/>
        <w:rPr>
          <w:color w:val="auto"/>
          <w:szCs w:val="24"/>
          <w:highlight w:val="none"/>
        </w:rPr>
      </w:pPr>
      <w:r>
        <w:rPr>
          <w:rFonts w:hint="eastAsia"/>
          <w:color w:val="auto"/>
          <w:szCs w:val="24"/>
          <w:highlight w:val="none"/>
        </w:rPr>
        <w:t>（二）询比项目的范围和性质；</w:t>
      </w:r>
    </w:p>
    <w:p>
      <w:pPr>
        <w:spacing w:line="360" w:lineRule="auto"/>
        <w:ind w:firstLine="480" w:firstLineChars="200"/>
        <w:rPr>
          <w:color w:val="auto"/>
          <w:szCs w:val="24"/>
          <w:highlight w:val="none"/>
        </w:rPr>
      </w:pPr>
      <w:r>
        <w:rPr>
          <w:rFonts w:hint="eastAsia"/>
          <w:color w:val="auto"/>
          <w:szCs w:val="24"/>
          <w:highlight w:val="none"/>
        </w:rPr>
        <w:t>（三）询比采购文件中规定的主要条款；</w:t>
      </w:r>
    </w:p>
    <w:p>
      <w:pPr>
        <w:spacing w:line="360" w:lineRule="auto"/>
        <w:ind w:firstLine="480" w:firstLineChars="200"/>
        <w:rPr>
          <w:color w:val="auto"/>
          <w:szCs w:val="24"/>
          <w:highlight w:val="none"/>
        </w:rPr>
      </w:pPr>
      <w:r>
        <w:rPr>
          <w:rFonts w:hint="eastAsia"/>
          <w:color w:val="auto"/>
          <w:szCs w:val="24"/>
          <w:highlight w:val="none"/>
        </w:rPr>
        <w:t>（四）询比采购文件规定的评审标准、评审方法和在评审过程中考虑的相关因素。</w:t>
      </w:r>
    </w:p>
    <w:p>
      <w:pPr>
        <w:spacing w:line="360" w:lineRule="auto"/>
        <w:ind w:firstLine="480" w:firstLineChars="200"/>
        <w:rPr>
          <w:color w:val="auto"/>
          <w:szCs w:val="24"/>
          <w:highlight w:val="none"/>
        </w:rPr>
      </w:pPr>
      <w:r>
        <w:rPr>
          <w:rFonts w:hint="eastAsia"/>
          <w:color w:val="auto"/>
          <w:szCs w:val="24"/>
          <w:highlight w:val="none"/>
        </w:rPr>
        <w:t>第六条 有效询比应符合以下原则：</w:t>
      </w:r>
    </w:p>
    <w:p>
      <w:pPr>
        <w:spacing w:line="360" w:lineRule="auto"/>
        <w:ind w:firstLine="480" w:firstLineChars="200"/>
        <w:rPr>
          <w:color w:val="auto"/>
          <w:szCs w:val="24"/>
          <w:highlight w:val="none"/>
        </w:rPr>
      </w:pPr>
      <w:r>
        <w:rPr>
          <w:rFonts w:hint="eastAsia"/>
          <w:color w:val="auto"/>
          <w:szCs w:val="24"/>
          <w:highlight w:val="none"/>
        </w:rPr>
        <w:t>（一）满足招标文件的实质性要求；</w:t>
      </w:r>
    </w:p>
    <w:p>
      <w:pPr>
        <w:spacing w:line="360" w:lineRule="auto"/>
        <w:ind w:firstLine="480" w:firstLineChars="200"/>
        <w:rPr>
          <w:color w:val="auto"/>
          <w:szCs w:val="24"/>
          <w:highlight w:val="none"/>
        </w:rPr>
      </w:pPr>
      <w:r>
        <w:rPr>
          <w:rFonts w:hint="eastAsia"/>
          <w:color w:val="auto"/>
          <w:szCs w:val="24"/>
          <w:highlight w:val="none"/>
        </w:rPr>
        <w:t>（二）无重大偏离、保留或采购人不能接受的附加条件；</w:t>
      </w:r>
    </w:p>
    <w:p>
      <w:pPr>
        <w:spacing w:line="360" w:lineRule="auto"/>
        <w:ind w:firstLine="480" w:firstLineChars="200"/>
        <w:rPr>
          <w:color w:val="auto"/>
          <w:szCs w:val="24"/>
          <w:highlight w:val="none"/>
        </w:rPr>
      </w:pPr>
      <w:r>
        <w:rPr>
          <w:rFonts w:hint="eastAsia"/>
          <w:color w:val="auto"/>
          <w:szCs w:val="24"/>
          <w:highlight w:val="none"/>
        </w:rPr>
        <w:t>（三）通过有效性评审；</w:t>
      </w:r>
    </w:p>
    <w:p>
      <w:pPr>
        <w:spacing w:line="360" w:lineRule="auto"/>
        <w:ind w:firstLine="480" w:firstLineChars="200"/>
        <w:rPr>
          <w:color w:val="auto"/>
          <w:szCs w:val="24"/>
          <w:highlight w:val="none"/>
        </w:rPr>
      </w:pPr>
      <w:r>
        <w:rPr>
          <w:rFonts w:hint="eastAsia"/>
          <w:color w:val="auto"/>
          <w:szCs w:val="24"/>
          <w:highlight w:val="none"/>
        </w:rPr>
        <w:t>（四）评审委员会依据询比采购文件认定的其他原则。</w:t>
      </w:r>
    </w:p>
    <w:p>
      <w:pPr>
        <w:spacing w:line="360" w:lineRule="auto"/>
        <w:ind w:firstLine="480" w:firstLineChars="200"/>
        <w:rPr>
          <w:color w:val="auto"/>
          <w:szCs w:val="24"/>
          <w:highlight w:val="none"/>
        </w:rPr>
      </w:pPr>
      <w:r>
        <w:rPr>
          <w:rFonts w:hint="eastAsia"/>
          <w:color w:val="auto"/>
          <w:szCs w:val="24"/>
          <w:highlight w:val="none"/>
        </w:rPr>
        <w:t>第七条 评审委员会遵循公开、公平、公正和科学诚信的原则，按照询比采购文件规定的评审办法对询比采购文件采用相同程序和标准独立进行评定。</w:t>
      </w:r>
    </w:p>
    <w:p>
      <w:pPr>
        <w:spacing w:line="360" w:lineRule="auto"/>
        <w:ind w:firstLine="480" w:firstLineChars="200"/>
        <w:rPr>
          <w:color w:val="auto"/>
          <w:szCs w:val="24"/>
          <w:highlight w:val="none"/>
        </w:rPr>
      </w:pPr>
      <w:r>
        <w:rPr>
          <w:rFonts w:hint="eastAsia"/>
          <w:color w:val="auto"/>
          <w:szCs w:val="24"/>
          <w:highlight w:val="none"/>
        </w:rPr>
        <w:t>第八条 评审中，评标委员会发现供应商的询比采购文件中对同类问题表述不一致、前后矛盾、有明显文字和计算错误的内容、有可能不符合询比采购文件规定等情况需要澄清时，评审委员会将以询标的方式告知并要求供应商以书面方式进行必要的澄清、说明或补正。对于询标后判定为不符合询比采购文件的响应文件，评标委员会要提出充足的否定理由，并予以书面记录。</w:t>
      </w:r>
    </w:p>
    <w:p>
      <w:pPr>
        <w:spacing w:line="360" w:lineRule="auto"/>
        <w:ind w:firstLine="470" w:firstLineChars="196"/>
        <w:rPr>
          <w:rFonts w:hAnsi="宋体"/>
          <w:color w:val="auto"/>
          <w:highlight w:val="none"/>
        </w:rPr>
      </w:pPr>
      <w:r>
        <w:rPr>
          <w:rFonts w:hint="eastAsia" w:hAnsi="宋体"/>
          <w:color w:val="auto"/>
          <w:highlight w:val="none"/>
        </w:rPr>
        <w:br w:type="page"/>
      </w:r>
      <w:r>
        <w:rPr>
          <w:rFonts w:hint="eastAsia" w:hAnsi="宋体"/>
          <w:b/>
          <w:bCs/>
          <w:color w:val="auto"/>
          <w:highlight w:val="none"/>
        </w:rPr>
        <w:t>三、评审方法</w:t>
      </w:r>
    </w:p>
    <w:p>
      <w:pPr>
        <w:spacing w:line="360" w:lineRule="auto"/>
        <w:ind w:firstLine="470" w:firstLineChars="196"/>
        <w:rPr>
          <w:rFonts w:hAnsi="宋体"/>
          <w:color w:val="auto"/>
          <w:highlight w:val="none"/>
        </w:rPr>
      </w:pPr>
      <w:r>
        <w:rPr>
          <w:rFonts w:hint="eastAsia" w:hAnsi="宋体"/>
          <w:color w:val="auto"/>
          <w:highlight w:val="none"/>
        </w:rPr>
        <w:t>1.评审委员会按下表内容对响应文件进行初审和综合评审，各供应商的得分分值一经得出，并核对无误后，任何人不得更改。评审委员会对供应商某项初审指标如有不同意见，按照少数服从多数的原则，确定该项指标是否通过。</w:t>
      </w:r>
    </w:p>
    <w:p>
      <w:pPr>
        <w:adjustRightInd w:val="0"/>
        <w:snapToGrid w:val="0"/>
        <w:spacing w:line="360" w:lineRule="auto"/>
        <w:ind w:right="-10" w:firstLine="480" w:firstLineChars="200"/>
        <w:rPr>
          <w:rFonts w:hAnsi="宋体"/>
          <w:color w:val="auto"/>
          <w:highlight w:val="none"/>
        </w:rPr>
      </w:pPr>
      <w:r>
        <w:rPr>
          <w:rFonts w:hint="eastAsia" w:hAnsi="宋体"/>
          <w:color w:val="auto"/>
          <w:highlight w:val="none"/>
        </w:rPr>
        <w:t>2. 评审委员会成员依据询比采购文件的要求，对所有供应商提交的响应文件进行初审。初审评审表如下：</w:t>
      </w:r>
    </w:p>
    <w:tbl>
      <w:tblPr>
        <w:tblStyle w:val="5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07"/>
        <w:gridCol w:w="2415"/>
        <w:gridCol w:w="1193"/>
        <w:gridCol w:w="33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98" w:type="dxa"/>
            <w:gridSpan w:val="5"/>
            <w:vAlign w:val="center"/>
          </w:tcPr>
          <w:p>
            <w:pPr>
              <w:autoSpaceDE w:val="0"/>
              <w:autoSpaceDN w:val="0"/>
              <w:adjustRightInd w:val="0"/>
              <w:spacing w:line="360" w:lineRule="auto"/>
              <w:jc w:val="center"/>
              <w:rPr>
                <w:rFonts w:hAnsi="宋体"/>
                <w:color w:val="auto"/>
                <w:kern w:val="2"/>
                <w:szCs w:val="24"/>
                <w:highlight w:val="none"/>
              </w:rPr>
            </w:pPr>
            <w:r>
              <w:rPr>
                <w:rFonts w:hint="eastAsia" w:hAnsi="宋体" w:cs="宋体"/>
                <w:b/>
                <w:bCs/>
                <w:color w:val="auto"/>
                <w:szCs w:val="18"/>
                <w:highlight w:val="none"/>
              </w:rPr>
              <w:t>中水淮河规划设计研究有限公司员工活动中心项目</w:t>
            </w:r>
            <w:r>
              <w:rPr>
                <w:rFonts w:hint="eastAsia" w:hAnsi="宋体"/>
                <w:b/>
                <w:bCs/>
                <w:color w:val="auto"/>
                <w:highlight w:val="none"/>
              </w:rPr>
              <w:t>初审表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9498" w:type="dxa"/>
            <w:gridSpan w:val="5"/>
            <w:vAlign w:val="center"/>
          </w:tcPr>
          <w:p>
            <w:pPr>
              <w:adjustRightInd w:val="0"/>
              <w:snapToGrid w:val="0"/>
              <w:spacing w:line="360" w:lineRule="auto"/>
              <w:ind w:right="-10"/>
              <w:rPr>
                <w:rFonts w:hAnsi="宋体"/>
                <w:color w:val="auto"/>
                <w:highlight w:val="none"/>
              </w:rPr>
            </w:pPr>
            <w:r>
              <w:rPr>
                <w:rFonts w:hint="eastAsia" w:hAnsi="宋体"/>
                <w:color w:val="auto"/>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序号</w:t>
            </w:r>
          </w:p>
        </w:tc>
        <w:tc>
          <w:tcPr>
            <w:tcW w:w="1807" w:type="dxa"/>
            <w:vAlign w:val="center"/>
          </w:tcPr>
          <w:p>
            <w:pPr>
              <w:pStyle w:val="118"/>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highlight w:val="none"/>
              </w:rPr>
            </w:pPr>
            <w:r>
              <w:rPr>
                <w:rFonts w:hint="eastAsia" w:ascii="宋体" w:hAnsi="宋体"/>
                <w:color w:val="auto"/>
                <w:kern w:val="2"/>
                <w:szCs w:val="24"/>
                <w:highlight w:val="none"/>
              </w:rPr>
              <w:t>实质性响应</w:t>
            </w:r>
          </w:p>
          <w:p>
            <w:pPr>
              <w:pStyle w:val="118"/>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highlight w:val="none"/>
              </w:rPr>
            </w:pPr>
            <w:r>
              <w:rPr>
                <w:rFonts w:hint="eastAsia" w:ascii="宋体" w:hAnsi="宋体"/>
                <w:color w:val="auto"/>
                <w:kern w:val="2"/>
                <w:szCs w:val="24"/>
                <w:highlight w:val="none"/>
              </w:rPr>
              <w:t>评审指标</w:t>
            </w:r>
          </w:p>
        </w:tc>
        <w:tc>
          <w:tcPr>
            <w:tcW w:w="2415"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评审要求</w:t>
            </w:r>
          </w:p>
        </w:tc>
        <w:tc>
          <w:tcPr>
            <w:tcW w:w="1193"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是否通过</w:t>
            </w:r>
          </w:p>
        </w:tc>
        <w:tc>
          <w:tcPr>
            <w:tcW w:w="3346"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响应文件格式及提交资料要求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1</w:t>
            </w:r>
          </w:p>
        </w:tc>
        <w:tc>
          <w:tcPr>
            <w:tcW w:w="1807"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营业执照</w:t>
            </w:r>
          </w:p>
        </w:tc>
        <w:tc>
          <w:tcPr>
            <w:tcW w:w="2415" w:type="dxa"/>
            <w:vAlign w:val="center"/>
          </w:tcPr>
          <w:p>
            <w:pPr>
              <w:spacing w:after="50"/>
              <w:rPr>
                <w:rFonts w:hAnsi="Courier New"/>
                <w:color w:val="auto"/>
                <w:highlight w:val="none"/>
              </w:rPr>
            </w:pPr>
            <w:r>
              <w:rPr>
                <w:rFonts w:hint="eastAsia"/>
                <w:color w:val="auto"/>
                <w:highlight w:val="none"/>
              </w:rPr>
              <w:t>合法有效且符合供应商资格中对营业执照要求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2</w:t>
            </w:r>
          </w:p>
        </w:tc>
        <w:tc>
          <w:tcPr>
            <w:tcW w:w="1807"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响应函</w:t>
            </w:r>
          </w:p>
        </w:tc>
        <w:tc>
          <w:tcPr>
            <w:tcW w:w="2415"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符合</w:t>
            </w:r>
            <w:r>
              <w:rPr>
                <w:rFonts w:hint="eastAsia" w:hAnsi="宋体"/>
                <w:color w:val="auto"/>
                <w:highlight w:val="none"/>
              </w:rPr>
              <w:t>询比采购文件</w:t>
            </w:r>
          </w:p>
          <w:p>
            <w:pPr>
              <w:spacing w:after="50" w:line="360" w:lineRule="auto"/>
              <w:ind w:right="-10"/>
              <w:jc w:val="center"/>
              <w:rPr>
                <w:rFonts w:hAnsi="宋体"/>
                <w:color w:val="auto"/>
                <w:szCs w:val="28"/>
                <w:highlight w:val="none"/>
              </w:rPr>
            </w:pPr>
            <w:r>
              <w:rPr>
                <w:rFonts w:hint="eastAsia" w:hAnsi="宋体"/>
                <w:color w:val="auto"/>
                <w:szCs w:val="28"/>
                <w:highlight w:val="none"/>
              </w:rPr>
              <w:t>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七．响应文件格式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3</w:t>
            </w:r>
          </w:p>
        </w:tc>
        <w:tc>
          <w:tcPr>
            <w:tcW w:w="1807" w:type="dxa"/>
            <w:vAlign w:val="center"/>
          </w:tcPr>
          <w:p>
            <w:pPr>
              <w:spacing w:after="50" w:line="360" w:lineRule="auto"/>
              <w:ind w:right="-10"/>
              <w:jc w:val="center"/>
              <w:rPr>
                <w:rFonts w:hAnsi="宋体"/>
                <w:color w:val="auto"/>
                <w:szCs w:val="28"/>
                <w:highlight w:val="none"/>
              </w:rPr>
            </w:pPr>
            <w:r>
              <w:rPr>
                <w:rFonts w:hint="eastAsia" w:hAnsi="宋体"/>
                <w:color w:val="auto"/>
                <w:szCs w:val="21"/>
                <w:highlight w:val="none"/>
              </w:rPr>
              <w:t>报价</w:t>
            </w:r>
          </w:p>
        </w:tc>
        <w:tc>
          <w:tcPr>
            <w:tcW w:w="2415"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符合</w:t>
            </w:r>
            <w:r>
              <w:rPr>
                <w:rFonts w:hint="eastAsia" w:hAnsi="宋体"/>
                <w:color w:val="auto"/>
                <w:highlight w:val="none"/>
              </w:rPr>
              <w:t>询比采购文件</w:t>
            </w:r>
          </w:p>
          <w:p>
            <w:pPr>
              <w:spacing w:after="50" w:line="360" w:lineRule="auto"/>
              <w:ind w:right="-10"/>
              <w:jc w:val="center"/>
              <w:rPr>
                <w:rFonts w:hAnsi="宋体"/>
                <w:color w:val="auto"/>
                <w:szCs w:val="28"/>
                <w:highlight w:val="none"/>
              </w:rPr>
            </w:pPr>
            <w:r>
              <w:rPr>
                <w:rFonts w:hint="eastAsia" w:hAnsi="宋体"/>
                <w:color w:val="auto"/>
                <w:szCs w:val="28"/>
                <w:highlight w:val="none"/>
              </w:rPr>
              <w:t>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4</w:t>
            </w:r>
          </w:p>
        </w:tc>
        <w:tc>
          <w:tcPr>
            <w:tcW w:w="1807"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无重大违法记录声明函、无不良信用声明函</w:t>
            </w:r>
          </w:p>
        </w:tc>
        <w:tc>
          <w:tcPr>
            <w:tcW w:w="2415"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符合</w:t>
            </w:r>
            <w:r>
              <w:rPr>
                <w:rFonts w:hint="eastAsia" w:hAnsi="宋体"/>
                <w:color w:val="auto"/>
                <w:highlight w:val="none"/>
              </w:rPr>
              <w:t>询比采购文件</w:t>
            </w:r>
          </w:p>
          <w:p>
            <w:pPr>
              <w:spacing w:after="50" w:line="360" w:lineRule="auto"/>
              <w:ind w:right="-10"/>
              <w:jc w:val="center"/>
              <w:rPr>
                <w:rFonts w:hAnsi="宋体"/>
                <w:color w:val="auto"/>
                <w:szCs w:val="28"/>
                <w:highlight w:val="none"/>
              </w:rPr>
            </w:pPr>
            <w:r>
              <w:rPr>
                <w:rFonts w:hint="eastAsia" w:hAnsi="宋体"/>
                <w:color w:val="auto"/>
                <w:szCs w:val="28"/>
                <w:highlight w:val="none"/>
              </w:rPr>
              <w:t>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七．响应文件格式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7" w:type="dxa"/>
            <w:vAlign w:val="center"/>
          </w:tcPr>
          <w:p>
            <w:pPr>
              <w:adjustRightInd w:val="0"/>
              <w:snapToGrid w:val="0"/>
              <w:ind w:right="-10"/>
              <w:jc w:val="center"/>
              <w:rPr>
                <w:rFonts w:hAnsi="宋体"/>
                <w:color w:val="auto"/>
                <w:highlight w:val="none"/>
              </w:rPr>
            </w:pPr>
            <w:r>
              <w:rPr>
                <w:rFonts w:hint="eastAsia" w:hAnsi="宋体"/>
                <w:color w:val="auto"/>
                <w:szCs w:val="21"/>
                <w:highlight w:val="none"/>
              </w:rPr>
              <w:t>5</w:t>
            </w:r>
          </w:p>
        </w:tc>
        <w:tc>
          <w:tcPr>
            <w:tcW w:w="1807" w:type="dxa"/>
            <w:vAlign w:val="center"/>
          </w:tcPr>
          <w:p>
            <w:pPr>
              <w:snapToGrid w:val="0"/>
              <w:ind w:right="-11"/>
              <w:jc w:val="center"/>
              <w:rPr>
                <w:rFonts w:hAnsi="宋体"/>
                <w:color w:val="auto"/>
                <w:szCs w:val="28"/>
                <w:highlight w:val="none"/>
              </w:rPr>
            </w:pPr>
            <w:r>
              <w:rPr>
                <w:rFonts w:hint="eastAsia" w:hAnsi="宋体"/>
                <w:color w:val="auto"/>
                <w:szCs w:val="21"/>
                <w:highlight w:val="none"/>
              </w:rPr>
              <w:t>响应情况</w:t>
            </w:r>
          </w:p>
        </w:tc>
        <w:tc>
          <w:tcPr>
            <w:tcW w:w="2415" w:type="dxa"/>
            <w:vAlign w:val="center"/>
          </w:tcPr>
          <w:p>
            <w:pPr>
              <w:snapToGrid w:val="0"/>
              <w:ind w:right="-11"/>
              <w:jc w:val="center"/>
              <w:rPr>
                <w:rFonts w:hAnsi="宋体"/>
                <w:color w:val="auto"/>
                <w:szCs w:val="28"/>
                <w:highlight w:val="none"/>
              </w:rPr>
            </w:pPr>
            <w:r>
              <w:rPr>
                <w:rFonts w:hint="eastAsia" w:hAnsi="宋体"/>
                <w:color w:val="auto"/>
                <w:szCs w:val="21"/>
                <w:highlight w:val="none"/>
              </w:rPr>
              <w:t>付款响应、工期响应，符合询比采购文件要求。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6</w:t>
            </w:r>
          </w:p>
        </w:tc>
        <w:tc>
          <w:tcPr>
            <w:tcW w:w="1807"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厂家针对本项目的质量保证函</w:t>
            </w:r>
          </w:p>
        </w:tc>
        <w:tc>
          <w:tcPr>
            <w:tcW w:w="2415" w:type="dxa"/>
            <w:vAlign w:val="center"/>
          </w:tcPr>
          <w:p>
            <w:pPr>
              <w:spacing w:after="50" w:line="360" w:lineRule="auto"/>
              <w:ind w:right="-10"/>
              <w:jc w:val="center"/>
              <w:rPr>
                <w:rFonts w:hAnsi="宋体"/>
                <w:color w:val="auto"/>
                <w:szCs w:val="28"/>
                <w:highlight w:val="none"/>
              </w:rPr>
            </w:pPr>
            <w:r>
              <w:rPr>
                <w:rFonts w:hint="eastAsia" w:hAnsi="宋体"/>
                <w:color w:val="auto"/>
                <w:szCs w:val="21"/>
                <w:highlight w:val="none"/>
              </w:rPr>
              <w:t>符合项目需求中，对地胶和专业灯具</w:t>
            </w:r>
            <w:r>
              <w:rPr>
                <w:rFonts w:hint="eastAsia" w:hAnsi="宋体"/>
                <w:b/>
                <w:color w:val="auto"/>
                <w:highlight w:val="none"/>
              </w:rPr>
              <w:t>质量保证函原件或售后服务承诺函原件</w:t>
            </w:r>
            <w:r>
              <w:rPr>
                <w:rFonts w:hint="eastAsia" w:hAnsi="宋体"/>
                <w:color w:val="auto"/>
                <w:szCs w:val="21"/>
                <w:highlight w:val="none"/>
              </w:rPr>
              <w:t>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7" w:type="dxa"/>
            <w:vAlign w:val="center"/>
          </w:tcPr>
          <w:p>
            <w:pPr>
              <w:adjustRightInd w:val="0"/>
              <w:snapToGrid w:val="0"/>
              <w:spacing w:line="360" w:lineRule="auto"/>
              <w:ind w:right="-10"/>
              <w:jc w:val="center"/>
              <w:rPr>
                <w:rFonts w:hAnsi="宋体"/>
                <w:color w:val="auto"/>
                <w:highlight w:val="none"/>
              </w:rPr>
            </w:pPr>
            <w:r>
              <w:rPr>
                <w:rFonts w:hint="eastAsia" w:hAnsi="宋体"/>
                <w:color w:val="auto"/>
                <w:highlight w:val="none"/>
              </w:rPr>
              <w:t>7</w:t>
            </w:r>
          </w:p>
        </w:tc>
        <w:tc>
          <w:tcPr>
            <w:tcW w:w="1807"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其他要求</w:t>
            </w:r>
          </w:p>
        </w:tc>
        <w:tc>
          <w:tcPr>
            <w:tcW w:w="2415" w:type="dxa"/>
            <w:vAlign w:val="center"/>
          </w:tcPr>
          <w:p>
            <w:pPr>
              <w:spacing w:after="50" w:line="360" w:lineRule="auto"/>
              <w:ind w:right="-10"/>
              <w:jc w:val="center"/>
              <w:rPr>
                <w:rFonts w:hAnsi="宋体"/>
                <w:color w:val="auto"/>
                <w:szCs w:val="28"/>
                <w:highlight w:val="none"/>
              </w:rPr>
            </w:pPr>
            <w:r>
              <w:rPr>
                <w:rFonts w:hint="eastAsia" w:hAnsi="宋体"/>
                <w:color w:val="auto"/>
                <w:szCs w:val="28"/>
                <w:highlight w:val="none"/>
              </w:rPr>
              <w:t>法律、行政法规规定的其他条件或</w:t>
            </w:r>
            <w:r>
              <w:rPr>
                <w:rFonts w:hint="eastAsia" w:hAnsi="宋体"/>
                <w:color w:val="auto"/>
                <w:highlight w:val="none"/>
              </w:rPr>
              <w:t>询比</w:t>
            </w:r>
            <w:r>
              <w:rPr>
                <w:rFonts w:hint="eastAsia" w:hAnsi="宋体"/>
                <w:color w:val="auto"/>
                <w:szCs w:val="28"/>
                <w:highlight w:val="none"/>
              </w:rPr>
              <w:t>公告、</w:t>
            </w:r>
            <w:r>
              <w:rPr>
                <w:rFonts w:hint="eastAsia" w:hAnsi="宋体"/>
                <w:color w:val="auto"/>
                <w:highlight w:val="none"/>
              </w:rPr>
              <w:t>询比采购文件</w:t>
            </w:r>
            <w:r>
              <w:rPr>
                <w:rFonts w:hint="eastAsia" w:hAnsi="宋体"/>
                <w:color w:val="auto"/>
                <w:szCs w:val="28"/>
                <w:highlight w:val="none"/>
              </w:rPr>
              <w:t>列明的其他要求。</w:t>
            </w:r>
          </w:p>
        </w:tc>
        <w:tc>
          <w:tcPr>
            <w:tcW w:w="1193" w:type="dxa"/>
            <w:vAlign w:val="center"/>
          </w:tcPr>
          <w:p>
            <w:pPr>
              <w:adjustRightInd w:val="0"/>
              <w:snapToGrid w:val="0"/>
              <w:spacing w:line="360" w:lineRule="auto"/>
              <w:ind w:right="-10"/>
              <w:jc w:val="center"/>
              <w:rPr>
                <w:rFonts w:hAnsi="宋体"/>
                <w:color w:val="auto"/>
                <w:highlight w:val="none"/>
              </w:rPr>
            </w:pPr>
          </w:p>
        </w:tc>
        <w:tc>
          <w:tcPr>
            <w:tcW w:w="3346" w:type="dxa"/>
            <w:vAlign w:val="center"/>
          </w:tcPr>
          <w:p>
            <w:pPr>
              <w:adjustRightInd w:val="0"/>
              <w:snapToGrid w:val="0"/>
              <w:spacing w:line="360" w:lineRule="auto"/>
              <w:ind w:right="-10"/>
              <w:rPr>
                <w:rFonts w:hAnsi="宋体"/>
                <w:color w:val="auto"/>
                <w:highlight w:val="none"/>
              </w:rPr>
            </w:pPr>
            <w:r>
              <w:rPr>
                <w:rFonts w:hint="eastAsia" w:hAnsi="宋体"/>
                <w:color w:val="auto"/>
                <w:highlight w:val="none"/>
              </w:rPr>
              <w:t>同一供应商不得提交两个以上不同的响应文件或者报价，但询比采购文件要求提交备选询比的除外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9498" w:type="dxa"/>
            <w:gridSpan w:val="5"/>
            <w:vAlign w:val="center"/>
          </w:tcPr>
          <w:p>
            <w:pPr>
              <w:adjustRightInd w:val="0"/>
              <w:snapToGrid w:val="0"/>
              <w:spacing w:line="360" w:lineRule="auto"/>
              <w:ind w:right="-10"/>
              <w:rPr>
                <w:rFonts w:hAnsi="宋体"/>
                <w:color w:val="auto"/>
                <w:highlight w:val="none"/>
              </w:rPr>
            </w:pPr>
            <w:r>
              <w:rPr>
                <w:rFonts w:hint="eastAsia" w:hAnsi="宋体"/>
                <w:color w:val="auto"/>
                <w:highlight w:val="none"/>
              </w:rPr>
              <w:t>评审指标通过标准：供应商必须通过上述全部指标。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498" w:type="dxa"/>
            <w:gridSpan w:val="5"/>
          </w:tcPr>
          <w:p>
            <w:pPr>
              <w:adjustRightInd w:val="0"/>
              <w:snapToGrid w:val="0"/>
              <w:spacing w:line="360" w:lineRule="auto"/>
              <w:ind w:right="-10"/>
              <w:rPr>
                <w:rFonts w:hAnsi="宋体"/>
                <w:color w:val="auto"/>
                <w:highlight w:val="none"/>
              </w:rPr>
            </w:pPr>
            <w:r>
              <w:rPr>
                <w:rFonts w:hint="eastAsia" w:hAnsi="宋体"/>
                <w:color w:val="auto"/>
                <w:highlight w:val="none"/>
              </w:rPr>
              <w:t>评委签字：</w:t>
            </w:r>
          </w:p>
          <w:p>
            <w:pPr>
              <w:adjustRightInd w:val="0"/>
              <w:snapToGrid w:val="0"/>
              <w:spacing w:line="360" w:lineRule="auto"/>
              <w:ind w:right="-10"/>
              <w:rPr>
                <w:rFonts w:hAnsi="宋体"/>
                <w:color w:val="auto"/>
                <w:highlight w:val="none"/>
              </w:rPr>
            </w:pPr>
            <w:r>
              <w:rPr>
                <w:rFonts w:hint="eastAsia" w:hAnsi="宋体"/>
                <w:color w:val="auto"/>
                <w:highlight w:val="none"/>
              </w:rPr>
              <w:t>评审时间：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498" w:type="dxa"/>
            <w:gridSpan w:val="5"/>
          </w:tcPr>
          <w:p>
            <w:pPr>
              <w:pStyle w:val="24"/>
              <w:spacing w:line="360" w:lineRule="auto"/>
              <w:ind w:right="-10" w:firstLine="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注：</w:t>
            </w:r>
          </w:p>
          <w:p>
            <w:pPr>
              <w:pStyle w:val="24"/>
              <w:spacing w:line="360" w:lineRule="auto"/>
              <w:ind w:right="-10" w:firstLine="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1、无论何种原因，即使供应商询比时携带了证书材料的原件，但在响应文件中未提供与之内容完全一致的扫描件或影印件的，评审委员会可以视同其未提供。</w:t>
            </w:r>
          </w:p>
          <w:p>
            <w:pPr>
              <w:pStyle w:val="24"/>
              <w:spacing w:line="360" w:lineRule="auto"/>
              <w:ind w:right="-10" w:firstLine="0"/>
              <w:rPr>
                <w:b/>
                <w:color w:val="auto"/>
                <w:szCs w:val="24"/>
                <w:highlight w:val="none"/>
              </w:rPr>
            </w:pPr>
            <w:r>
              <w:rPr>
                <w:rFonts w:hint="eastAsia" w:ascii="宋体" w:hAnsi="宋体" w:eastAsia="宋体"/>
                <w:color w:val="auto"/>
                <w:kern w:val="0"/>
                <w:sz w:val="24"/>
                <w:szCs w:val="22"/>
                <w:highlight w:val="none"/>
              </w:rPr>
              <w:t>2、评审委员决定响应文件的响应性及符合性只根据响应文件本身的内容，而不寻求其他外部证据。</w:t>
            </w:r>
          </w:p>
        </w:tc>
      </w:tr>
    </w:tbl>
    <w:p>
      <w:pPr>
        <w:pStyle w:val="2"/>
        <w:rPr>
          <w:color w:val="auto"/>
          <w:highlight w:val="none"/>
        </w:rPr>
      </w:pPr>
    </w:p>
    <w:p>
      <w:pPr>
        <w:spacing w:line="420" w:lineRule="exact"/>
        <w:ind w:firstLine="481"/>
        <w:rPr>
          <w:rFonts w:hAnsi="宋体"/>
          <w:color w:val="auto"/>
          <w:highlight w:val="none"/>
        </w:rPr>
      </w:pPr>
      <w:r>
        <w:rPr>
          <w:rFonts w:hint="eastAsia" w:hAnsi="宋体"/>
          <w:color w:val="auto"/>
          <w:highlight w:val="none"/>
        </w:rPr>
        <w:br w:type="page"/>
      </w:r>
      <w:r>
        <w:rPr>
          <w:rFonts w:hAnsi="宋体"/>
          <w:color w:val="auto"/>
          <w:highlight w:val="none"/>
        </w:rPr>
        <w:t>3</w:t>
      </w:r>
      <w:r>
        <w:rPr>
          <w:rFonts w:hint="eastAsia" w:hAnsi="宋体"/>
          <w:color w:val="auto"/>
          <w:highlight w:val="none"/>
        </w:rPr>
        <w:t>初审评审结束后，评审委员会成员依据询比采购文件的要求，对通过初审的响应文件进行商务技术部分评审。</w:t>
      </w:r>
    </w:p>
    <w:p>
      <w:pPr>
        <w:numPr>
          <w:ilvl w:val="0"/>
          <w:numId w:val="6"/>
        </w:numPr>
        <w:spacing w:line="420" w:lineRule="exact"/>
        <w:ind w:firstLine="481"/>
        <w:rPr>
          <w:rFonts w:hAnsi="宋体"/>
          <w:color w:val="auto"/>
          <w:highlight w:val="none"/>
        </w:rPr>
      </w:pPr>
      <w:r>
        <w:rPr>
          <w:rFonts w:hint="eastAsia" w:hAnsi="宋体"/>
          <w:color w:val="auto"/>
          <w:highlight w:val="none"/>
        </w:rPr>
        <w:t>商务技术评审指标见下表：</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根据商务技术评分的细则，评审委员会应对进入综合评审的所有供应商进行评分，并分别填写综合评审表。</w:t>
      </w:r>
    </w:p>
    <w:p>
      <w:pPr>
        <w:adjustRightInd w:val="0"/>
        <w:snapToGrid w:val="0"/>
        <w:spacing w:line="520" w:lineRule="exact"/>
        <w:ind w:firstLine="480" w:firstLineChars="200"/>
        <w:rPr>
          <w:rFonts w:hAnsi="宋体"/>
          <w:color w:val="auto"/>
          <w:highlight w:val="none"/>
        </w:rPr>
      </w:pPr>
      <w:r>
        <w:rPr>
          <w:rFonts w:hint="eastAsia" w:hAnsi="宋体"/>
          <w:color w:val="auto"/>
          <w:highlight w:val="none"/>
        </w:rPr>
        <w:t>商务技术分汇总方法为：对某一供应商的每一个指标项得分，取各位评委评分的平均值，保留至小数点后两位数，得到该供应商该指标项的得分。再将供应商每个指标项得分进行汇总，得到该供应商的商务技术分之和，即商务技术总得分。</w:t>
      </w:r>
    </w:p>
    <w:p>
      <w:pPr>
        <w:spacing w:line="420" w:lineRule="exact"/>
        <w:ind w:firstLine="481"/>
        <w:rPr>
          <w:rFonts w:hAnsi="宋体"/>
          <w:color w:val="auto"/>
          <w:highlight w:val="none"/>
        </w:rPr>
      </w:pPr>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70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47" w:type="dxa"/>
            <w:gridSpan w:val="4"/>
            <w:tcBorders>
              <w:top w:val="single" w:color="auto" w:sz="4" w:space="0"/>
              <w:left w:val="single" w:color="auto" w:sz="4" w:space="0"/>
              <w:bottom w:val="single" w:color="auto" w:sz="4" w:space="0"/>
              <w:right w:val="single" w:color="auto" w:sz="4" w:space="0"/>
            </w:tcBorders>
          </w:tcPr>
          <w:p>
            <w:pPr>
              <w:jc w:val="center"/>
              <w:rPr>
                <w:rFonts w:hAnsi="宋体" w:cs="宋体"/>
                <w:b/>
                <w:bCs/>
                <w:color w:val="auto"/>
                <w:highlight w:val="none"/>
              </w:rPr>
            </w:pPr>
            <w:r>
              <w:rPr>
                <w:rFonts w:hint="eastAsia" w:hAnsi="宋体" w:cs="宋体"/>
                <w:b/>
                <w:bCs/>
                <w:color w:val="auto"/>
                <w:highlight w:val="none"/>
              </w:rPr>
              <w:t>商务技术内容（</w:t>
            </w:r>
            <w:r>
              <w:rPr>
                <w:rFonts w:hAnsi="宋体" w:cs="宋体"/>
                <w:b/>
                <w:bCs/>
                <w:color w:val="auto"/>
                <w:highlight w:val="none"/>
              </w:rPr>
              <w:t>100</w:t>
            </w:r>
            <w:r>
              <w:rPr>
                <w:rFonts w:hint="eastAsia"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Ansi="宋体" w:cs="宋体"/>
                <w:b/>
                <w:bCs/>
                <w:color w:val="auto"/>
                <w:highlight w:val="none"/>
              </w:rPr>
            </w:pPr>
            <w:r>
              <w:rPr>
                <w:rFonts w:hint="eastAsia" w:hAnsi="宋体" w:cs="宋体"/>
                <w:b/>
                <w:bCs/>
                <w:color w:val="auto"/>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b/>
                <w:bCs/>
                <w:color w:val="auto"/>
                <w:highlight w:val="none"/>
              </w:rPr>
            </w:pPr>
            <w:r>
              <w:rPr>
                <w:rFonts w:hint="eastAsia" w:hAnsi="宋体" w:cs="宋体"/>
                <w:b/>
                <w:bCs/>
                <w:color w:val="auto"/>
                <w:highlight w:val="none"/>
              </w:rPr>
              <w:t>评分内容</w:t>
            </w:r>
          </w:p>
        </w:tc>
        <w:tc>
          <w:tcPr>
            <w:tcW w:w="7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b/>
                <w:bCs/>
                <w:color w:val="auto"/>
                <w:highlight w:val="none"/>
              </w:rPr>
            </w:pPr>
            <w:r>
              <w:rPr>
                <w:rFonts w:hint="eastAsia" w:hAnsi="宋体" w:cs="宋体"/>
                <w:b/>
                <w:bCs/>
                <w:color w:val="auto"/>
                <w:highlight w:val="none"/>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b/>
                <w:bCs/>
                <w:color w:val="auto"/>
                <w:highlight w:val="none"/>
              </w:rPr>
            </w:pPr>
            <w:r>
              <w:rPr>
                <w:rFonts w:hint="eastAsia" w:hAnsi="宋体" w:cs="宋体"/>
                <w:b/>
                <w:bCs/>
                <w:color w:val="auto"/>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auto"/>
                <w:highlight w:val="none"/>
              </w:rPr>
            </w:pPr>
            <w:r>
              <w:rPr>
                <w:rFonts w:hint="eastAsia" w:hAnsi="宋体" w:cs="宋体"/>
                <w:color w:val="auto"/>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hAnsi="宋体" w:cs="宋体"/>
                <w:b/>
                <w:color w:val="auto"/>
                <w:spacing w:val="-22"/>
                <w:highlight w:val="none"/>
              </w:rPr>
            </w:pPr>
            <w:r>
              <w:rPr>
                <w:rFonts w:hint="eastAsia"/>
                <w:color w:val="auto"/>
                <w:szCs w:val="21"/>
                <w:highlight w:val="none"/>
              </w:rPr>
              <w:t>施工</w:t>
            </w:r>
            <w:r>
              <w:rPr>
                <w:color w:val="auto"/>
                <w:szCs w:val="21"/>
                <w:highlight w:val="none"/>
              </w:rPr>
              <w:t>组织设计</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根据施工方案、资源配备、质量管理、进度计划、安全措施、文明施工等进行评审。</w:t>
            </w:r>
          </w:p>
          <w:p>
            <w:pPr>
              <w:spacing w:line="300" w:lineRule="exact"/>
              <w:jc w:val="left"/>
              <w:rPr>
                <w:rFonts w:hAnsi="Courier New"/>
                <w:color w:val="auto"/>
                <w:sz w:val="21"/>
                <w:highlight w:val="none"/>
              </w:rPr>
            </w:pPr>
            <w:r>
              <w:rPr>
                <w:rFonts w:hint="eastAsia"/>
                <w:color w:val="auto"/>
                <w:szCs w:val="21"/>
                <w:highlight w:val="none"/>
              </w:rPr>
              <w:t>优的得35-40分，一般的得15-35分，差的得0-15分.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highlight w:val="none"/>
              </w:rPr>
            </w:pPr>
            <w:r>
              <w:rPr>
                <w:rFonts w:hint="eastAsia" w:hAnsi="宋体" w:cs="宋体"/>
                <w:color w:val="auto"/>
                <w:highlight w:val="none"/>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auto"/>
                <w:highlight w:val="none"/>
              </w:rPr>
            </w:pPr>
            <w:r>
              <w:rPr>
                <w:rFonts w:hint="eastAsia" w:hAnsi="宋体" w:cs="宋体"/>
                <w:color w:val="auto"/>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4"/>
                <w:highlight w:val="none"/>
              </w:rPr>
            </w:pPr>
            <w:r>
              <w:rPr>
                <w:color w:val="auto"/>
                <w:szCs w:val="24"/>
                <w:highlight w:val="none"/>
              </w:rPr>
              <w:t>材料质量和环保性</w:t>
            </w:r>
          </w:p>
        </w:tc>
        <w:tc>
          <w:tcPr>
            <w:tcW w:w="7087" w:type="dxa"/>
            <w:tcBorders>
              <w:top w:val="single" w:color="auto" w:sz="4" w:space="0"/>
              <w:left w:val="single" w:color="auto" w:sz="4" w:space="0"/>
              <w:bottom w:val="single" w:color="auto" w:sz="4" w:space="0"/>
              <w:right w:val="single" w:color="auto" w:sz="4" w:space="0"/>
            </w:tcBorders>
            <w:vAlign w:val="center"/>
          </w:tcPr>
          <w:p>
            <w:pPr>
              <w:pStyle w:val="2"/>
              <w:rPr>
                <w:color w:val="auto"/>
                <w:sz w:val="24"/>
                <w:szCs w:val="24"/>
                <w:highlight w:val="none"/>
              </w:rPr>
            </w:pPr>
            <w:r>
              <w:rPr>
                <w:rFonts w:hint="eastAsia"/>
                <w:color w:val="auto"/>
                <w:sz w:val="24"/>
                <w:szCs w:val="24"/>
                <w:highlight w:val="none"/>
              </w:rPr>
              <w:t>1、提供的专业灯具需通过弹袋下落测试，弹落高度为1200mm需无破损。得5分，未提供</w:t>
            </w:r>
            <w:r>
              <w:rPr>
                <w:rFonts w:hint="eastAsia"/>
                <w:color w:val="auto"/>
                <w:sz w:val="24"/>
                <w:szCs w:val="24"/>
                <w:highlight w:val="none"/>
                <w:lang w:eastAsia="zh-CN"/>
              </w:rPr>
              <w:t>不</w:t>
            </w:r>
            <w:r>
              <w:rPr>
                <w:rFonts w:hint="eastAsia"/>
                <w:color w:val="auto"/>
                <w:sz w:val="24"/>
                <w:szCs w:val="24"/>
                <w:highlight w:val="none"/>
              </w:rPr>
              <w:t>得分。（投标时需提供具有“CMA”或CNAS资格的检测报告复印件盖厂家公章）</w:t>
            </w:r>
          </w:p>
          <w:p>
            <w:pPr>
              <w:rPr>
                <w:rFonts w:hAnsi="Courier New"/>
                <w:color w:val="auto"/>
                <w:kern w:val="2"/>
                <w:szCs w:val="24"/>
                <w:highlight w:val="none"/>
              </w:rPr>
            </w:pPr>
            <w:r>
              <w:rPr>
                <w:rFonts w:hint="eastAsia"/>
                <w:color w:val="auto"/>
                <w:szCs w:val="24"/>
                <w:highlight w:val="none"/>
              </w:rPr>
              <w:t>2、</w:t>
            </w:r>
            <w:r>
              <w:rPr>
                <w:rFonts w:hint="eastAsia" w:hAnsi="Courier New"/>
                <w:color w:val="auto"/>
                <w:kern w:val="2"/>
                <w:szCs w:val="24"/>
                <w:highlight w:val="none"/>
              </w:rPr>
              <w:t>运动地胶厂家具有符合国家最新强制标准GB 18580-2017关于甲醛释放量的检测报告，且检测结果：未检出。得5分，未提供不得分。（投标时需提供检测报告复印件盖厂家公章）</w:t>
            </w:r>
          </w:p>
          <w:p>
            <w:pPr>
              <w:rPr>
                <w:color w:val="auto"/>
                <w:szCs w:val="24"/>
                <w:highlight w:val="none"/>
              </w:rPr>
            </w:pPr>
            <w:r>
              <w:rPr>
                <w:rFonts w:hint="eastAsia" w:hAnsi="Courier New"/>
                <w:color w:val="auto"/>
                <w:kern w:val="2"/>
                <w:szCs w:val="24"/>
                <w:highlight w:val="none"/>
              </w:rPr>
              <w:t>3、运动地胶焊接辅材</w:t>
            </w:r>
            <w:r>
              <w:rPr>
                <w:rFonts w:hint="eastAsia" w:hAnsi="Courier New"/>
                <w:color w:val="auto"/>
                <w:kern w:val="2"/>
                <w:szCs w:val="24"/>
                <w:highlight w:val="none"/>
                <w:lang w:eastAsia="zh-CN"/>
              </w:rPr>
              <w:t>满足</w:t>
            </w:r>
            <w:r>
              <w:rPr>
                <w:rFonts w:hint="eastAsia" w:hAnsi="Courier New"/>
                <w:color w:val="auto"/>
                <w:kern w:val="2"/>
                <w:szCs w:val="24"/>
                <w:highlight w:val="none"/>
              </w:rPr>
              <w:t>GB 18586-2001标准，</w:t>
            </w:r>
            <w:r>
              <w:rPr>
                <w:rFonts w:hint="eastAsia" w:hAnsi="Courier New"/>
                <w:color w:val="auto"/>
                <w:kern w:val="2"/>
                <w:szCs w:val="24"/>
                <w:highlight w:val="none"/>
                <w:lang w:eastAsia="zh-CN"/>
              </w:rPr>
              <w:t>提供</w:t>
            </w:r>
            <w:r>
              <w:rPr>
                <w:rFonts w:hint="eastAsia" w:hAnsi="Courier New"/>
                <w:color w:val="auto"/>
                <w:kern w:val="2"/>
                <w:szCs w:val="24"/>
                <w:highlight w:val="none"/>
              </w:rPr>
              <w:t>氯乙烯单体、可溶性铅、可溶性镉检测报告。得5分，未提供不得分。（投标时需提供检测报告复印件盖厂家公章）</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highlight w:val="none"/>
              </w:rPr>
            </w:pPr>
            <w:r>
              <w:rPr>
                <w:rFonts w:hint="eastAsia" w:hAnsi="宋体" w:cs="宋体"/>
                <w:color w:val="auto"/>
                <w:highlight w:val="none"/>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auto"/>
                <w:highlight w:val="none"/>
              </w:rPr>
            </w:pPr>
            <w:r>
              <w:rPr>
                <w:rFonts w:hint="eastAsia" w:hAnsi="宋体" w:cs="宋体"/>
                <w:color w:val="auto"/>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highlight w:val="none"/>
              </w:rPr>
              <w:t>设计方案</w:t>
            </w:r>
          </w:p>
        </w:tc>
        <w:tc>
          <w:tcPr>
            <w:tcW w:w="7087" w:type="dxa"/>
            <w:tcBorders>
              <w:top w:val="single" w:color="auto" w:sz="4" w:space="0"/>
              <w:left w:val="single" w:color="auto" w:sz="4" w:space="0"/>
              <w:bottom w:val="single" w:color="auto" w:sz="4" w:space="0"/>
              <w:right w:val="single" w:color="auto" w:sz="4" w:space="0"/>
            </w:tcBorders>
            <w:vAlign w:val="center"/>
          </w:tcPr>
          <w:p>
            <w:pPr>
              <w:jc w:val="left"/>
              <w:rPr>
                <w:rFonts w:hAnsi="Calibri"/>
                <w:color w:val="auto"/>
                <w:szCs w:val="24"/>
                <w:highlight w:val="none"/>
              </w:rPr>
            </w:pPr>
            <w:r>
              <w:rPr>
                <w:rFonts w:hint="eastAsia"/>
                <w:color w:val="auto"/>
                <w:highlight w:val="none"/>
              </w:rPr>
              <w:t>供应商自行查看现场，并提供以下设计图方案：</w:t>
            </w:r>
          </w:p>
          <w:p>
            <w:pPr>
              <w:jc w:val="left"/>
              <w:rPr>
                <w:color w:val="auto"/>
                <w:highlight w:val="none"/>
              </w:rPr>
            </w:pPr>
            <w:r>
              <w:rPr>
                <w:rFonts w:hint="eastAsia"/>
                <w:color w:val="auto"/>
                <w:highlight w:val="none"/>
              </w:rPr>
              <w:t>1、提供乒乓球台的建议布置平面图，根据合理性，得0-5分，未提供不得分。</w:t>
            </w:r>
          </w:p>
          <w:p>
            <w:pPr>
              <w:jc w:val="left"/>
              <w:rPr>
                <w:color w:val="auto"/>
                <w:highlight w:val="none"/>
              </w:rPr>
            </w:pPr>
            <w:r>
              <w:rPr>
                <w:rFonts w:hint="eastAsia"/>
                <w:color w:val="auto"/>
                <w:highlight w:val="none"/>
              </w:rPr>
              <w:t>2、根据球台布置，提供空调布置平面图，根据合理性，得0-5分，未提供不得分。</w:t>
            </w:r>
          </w:p>
          <w:p>
            <w:pPr>
              <w:spacing w:line="300" w:lineRule="exact"/>
              <w:rPr>
                <w:color w:val="auto"/>
                <w:szCs w:val="21"/>
                <w:highlight w:val="none"/>
              </w:rPr>
            </w:pPr>
            <w:r>
              <w:rPr>
                <w:rFonts w:hint="eastAsia"/>
                <w:color w:val="auto"/>
                <w:highlight w:val="none"/>
              </w:rPr>
              <w:t>3、根据球台布置，提供体育专业照明的设计方案，并且进行灯具布置和照度计算，符合健身、业余训练要求。根据合理性，得0-5分，未提供不得分。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highlight w:val="none"/>
              </w:rPr>
            </w:pPr>
            <w:r>
              <w:rPr>
                <w:rFonts w:hint="eastAsia" w:hAnsi="宋体"/>
                <w:color w:val="auto"/>
                <w:highlight w:val="none"/>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color w:val="auto"/>
                <w:highlight w:val="none"/>
              </w:rPr>
            </w:pPr>
            <w:r>
              <w:rPr>
                <w:rFonts w:hint="eastAsia" w:hAnsi="宋体" w:cs="宋体"/>
                <w:color w:val="auto"/>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color w:val="auto"/>
                <w:spacing w:val="-22"/>
                <w:highlight w:val="none"/>
              </w:rPr>
            </w:pPr>
            <w:r>
              <w:rPr>
                <w:rFonts w:hint="eastAsia" w:hAnsi="宋体" w:cs="宋体"/>
                <w:color w:val="auto"/>
                <w:highlight w:val="none"/>
                <w:lang w:bidi="ar"/>
              </w:rPr>
              <w:t>报价</w:t>
            </w:r>
          </w:p>
        </w:tc>
        <w:tc>
          <w:tcPr>
            <w:tcW w:w="7087" w:type="dxa"/>
            <w:tcBorders>
              <w:top w:val="single" w:color="auto" w:sz="4" w:space="0"/>
              <w:left w:val="single" w:color="auto" w:sz="4" w:space="0"/>
              <w:bottom w:val="single" w:color="auto" w:sz="4" w:space="0"/>
              <w:right w:val="single" w:color="auto" w:sz="4" w:space="0"/>
            </w:tcBorders>
            <w:vAlign w:val="center"/>
          </w:tcPr>
          <w:p>
            <w:pPr>
              <w:rPr>
                <w:rFonts w:hAnsi="宋体"/>
                <w:bCs/>
                <w:color w:val="auto"/>
                <w:highlight w:val="none"/>
              </w:rPr>
            </w:pPr>
            <w:r>
              <w:rPr>
                <w:rFonts w:hint="eastAsia" w:hAnsi="宋体"/>
                <w:bCs/>
                <w:color w:val="auto"/>
                <w:highlight w:val="none"/>
              </w:rPr>
              <w:t>响应文件响应函报价不能超过最高限价（超过最高限价其响应文件将被否决）</w:t>
            </w:r>
          </w:p>
          <w:p>
            <w:pPr>
              <w:pStyle w:val="2"/>
              <w:rPr>
                <w:rFonts w:hAnsi="宋体"/>
                <w:bCs/>
                <w:color w:val="auto"/>
                <w:sz w:val="24"/>
                <w:szCs w:val="22"/>
                <w:highlight w:val="none"/>
              </w:rPr>
            </w:pPr>
            <w:r>
              <w:rPr>
                <w:rFonts w:hint="eastAsia" w:hAnsi="宋体"/>
                <w:bCs/>
                <w:color w:val="auto"/>
                <w:sz w:val="24"/>
                <w:szCs w:val="22"/>
                <w:highlight w:val="none"/>
              </w:rPr>
              <w:t>报价等于评标基准价（A）时得满分30分，在此基础上每高于1个百分点扣0.5分，扣完为止，不得负分；每低于1个百分点扣</w:t>
            </w:r>
            <w:r>
              <w:rPr>
                <w:rFonts w:hAnsi="宋体"/>
                <w:bCs/>
                <w:color w:val="auto"/>
                <w:sz w:val="24"/>
                <w:szCs w:val="22"/>
                <w:highlight w:val="none"/>
              </w:rPr>
              <w:t>0.</w:t>
            </w:r>
            <w:r>
              <w:rPr>
                <w:rFonts w:hint="eastAsia" w:hAnsi="宋体"/>
                <w:bCs/>
                <w:color w:val="auto"/>
                <w:sz w:val="24"/>
                <w:szCs w:val="22"/>
                <w:highlight w:val="none"/>
              </w:rPr>
              <w:t>25分，扣完为止，不得负分。</w:t>
            </w:r>
          </w:p>
          <w:p>
            <w:pPr>
              <w:pStyle w:val="2"/>
              <w:rPr>
                <w:rFonts w:hAnsi="宋体"/>
                <w:bCs/>
                <w:color w:val="auto"/>
                <w:sz w:val="24"/>
                <w:szCs w:val="22"/>
                <w:highlight w:val="none"/>
              </w:rPr>
            </w:pPr>
            <w:r>
              <w:rPr>
                <w:rFonts w:hint="eastAsia" w:hAnsi="宋体"/>
                <w:bCs/>
                <w:color w:val="auto"/>
                <w:sz w:val="24"/>
                <w:szCs w:val="22"/>
                <w:highlight w:val="none"/>
              </w:rPr>
              <w:t>（得分线性内插，保留二位小数，小数点后第三位四舍五入）</w:t>
            </w:r>
          </w:p>
          <w:p>
            <w:pPr>
              <w:pStyle w:val="2"/>
              <w:rPr>
                <w:rFonts w:hAnsi="宋体"/>
                <w:bCs/>
                <w:color w:val="auto"/>
                <w:sz w:val="24"/>
                <w:szCs w:val="22"/>
                <w:highlight w:val="none"/>
              </w:rPr>
            </w:pPr>
            <w:r>
              <w:rPr>
                <w:rFonts w:hint="eastAsia" w:hAnsi="宋体"/>
                <w:bCs/>
                <w:color w:val="auto"/>
                <w:sz w:val="24"/>
                <w:szCs w:val="22"/>
                <w:highlight w:val="none"/>
              </w:rPr>
              <w:t>评标基准价（A）=所有有效报价的算术平均值。有效报价指通过初步评审且实质性响应询比采购文件的报价。</w:t>
            </w:r>
          </w:p>
          <w:p>
            <w:pPr>
              <w:pStyle w:val="2"/>
              <w:rPr>
                <w:color w:val="auto"/>
                <w:szCs w:val="22"/>
                <w:highlight w:val="none"/>
              </w:rPr>
            </w:pPr>
            <w:r>
              <w:rPr>
                <w:rFonts w:hint="eastAsia" w:hAnsi="宋体"/>
                <w:bCs/>
                <w:color w:val="auto"/>
                <w:sz w:val="24"/>
                <w:szCs w:val="22"/>
                <w:highlight w:val="none"/>
              </w:rPr>
              <w:t>（评标基准价计算结果保留二位小数，小数点后第三位四舍五入）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highlight w:val="none"/>
              </w:rPr>
            </w:pPr>
            <w:r>
              <w:rPr>
                <w:rFonts w:hint="eastAsia" w:hAnsi="宋体" w:cs="宋体"/>
                <w:color w:val="auto"/>
                <w:szCs w:val="22"/>
                <w:highlight w:val="none"/>
              </w:rPr>
              <w:t>0-30分</w:t>
            </w:r>
          </w:p>
        </w:tc>
      </w:tr>
    </w:tbl>
    <w:p>
      <w:pPr>
        <w:pStyle w:val="2"/>
        <w:rPr>
          <w:color w:val="auto"/>
          <w:highlight w:val="none"/>
        </w:rPr>
      </w:pP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25.9.3得分汇总</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（1）各位评委评分的平均值，即为该询比供应商的最终得分。保留至小数点后两位数，</w:t>
      </w:r>
      <w:r>
        <w:rPr>
          <w:rFonts w:hint="eastAsia" w:hAnsi="宋体"/>
          <w:bCs/>
          <w:color w:val="auto"/>
          <w:highlight w:val="none"/>
        </w:rPr>
        <w:t>小数点后第三位四舍五入</w:t>
      </w:r>
      <w:r>
        <w:rPr>
          <w:rFonts w:hint="eastAsia" w:hAnsi="宋体"/>
          <w:color w:val="auto"/>
          <w:highlight w:val="none"/>
        </w:rPr>
        <w:t>。</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（2）按照有效询比供应商最终得分由高到低依次排出中标供应商及中标候选供应商。</w:t>
      </w:r>
    </w:p>
    <w:p>
      <w:pPr>
        <w:adjustRightInd w:val="0"/>
        <w:snapToGrid w:val="0"/>
        <w:spacing w:line="360" w:lineRule="auto"/>
        <w:rPr>
          <w:rFonts w:hAnsi="宋体"/>
          <w:color w:val="auto"/>
          <w:highlight w:val="none"/>
        </w:rPr>
      </w:pPr>
      <w:r>
        <w:rPr>
          <w:rFonts w:hint="eastAsia" w:hAnsi="宋体"/>
          <w:color w:val="auto"/>
          <w:highlight w:val="none"/>
        </w:rPr>
        <w:t>最终评审得分出现两家或两家以上相同者，按最终报价由低到高排序确定成交候选供应商；评审总得分且最终报价相同的，则采取供应商或</w:t>
      </w:r>
      <w:r>
        <w:rPr>
          <w:rFonts w:hint="eastAsia" w:hAnsi="宋体" w:cs="宋体"/>
          <w:color w:val="auto"/>
          <w:szCs w:val="22"/>
          <w:highlight w:val="none"/>
        </w:rPr>
        <w:t>评审委员</w:t>
      </w:r>
      <w:r>
        <w:rPr>
          <w:rFonts w:hint="eastAsia" w:hAnsi="宋体"/>
          <w:color w:val="auto"/>
          <w:highlight w:val="none"/>
        </w:rPr>
        <w:t>抽签方式确定成交候选供应商。</w:t>
      </w:r>
    </w:p>
    <w:p>
      <w:pPr>
        <w:spacing w:line="360" w:lineRule="auto"/>
        <w:ind w:firstLine="470" w:firstLineChars="196"/>
        <w:rPr>
          <w:rFonts w:hAnsi="宋体"/>
          <w:color w:val="auto"/>
          <w:highlight w:val="none"/>
        </w:rPr>
      </w:pPr>
      <w:r>
        <w:rPr>
          <w:rFonts w:hAnsi="宋体"/>
          <w:color w:val="auto"/>
          <w:highlight w:val="none"/>
        </w:rPr>
        <w:t>25</w:t>
      </w:r>
      <w:r>
        <w:rPr>
          <w:rFonts w:hint="eastAsia" w:hAnsi="宋体"/>
          <w:color w:val="auto"/>
          <w:highlight w:val="none"/>
        </w:rPr>
        <w:t>.1</w:t>
      </w:r>
      <w:r>
        <w:rPr>
          <w:rFonts w:hAnsi="宋体"/>
          <w:color w:val="auto"/>
          <w:highlight w:val="none"/>
        </w:rPr>
        <w:t>0</w:t>
      </w:r>
      <w:r>
        <w:rPr>
          <w:rFonts w:hint="eastAsia" w:hAnsi="宋体" w:cs="宋体"/>
          <w:color w:val="auto"/>
          <w:szCs w:val="22"/>
          <w:highlight w:val="none"/>
        </w:rPr>
        <w:t>评审委员</w:t>
      </w:r>
      <w:r>
        <w:rPr>
          <w:rFonts w:hAnsi="宋体"/>
          <w:color w:val="auto"/>
          <w:highlight w:val="none"/>
        </w:rPr>
        <w:t>根据与</w:t>
      </w:r>
      <w:r>
        <w:rPr>
          <w:rFonts w:hint="eastAsia" w:hAnsi="宋体"/>
          <w:color w:val="auto"/>
          <w:highlight w:val="none"/>
        </w:rPr>
        <w:t>供应商</w:t>
      </w:r>
      <w:r>
        <w:rPr>
          <w:rFonts w:hAnsi="宋体"/>
          <w:color w:val="auto"/>
          <w:highlight w:val="none"/>
        </w:rPr>
        <w:t>情况可能实质性变动</w:t>
      </w:r>
      <w:r>
        <w:rPr>
          <w:rFonts w:hint="eastAsia" w:hAnsi="宋体"/>
          <w:color w:val="auto"/>
          <w:highlight w:val="none"/>
        </w:rPr>
        <w:t>询比采购文件</w:t>
      </w:r>
      <w:r>
        <w:rPr>
          <w:rFonts w:hAnsi="宋体"/>
          <w:color w:val="auto"/>
          <w:highlight w:val="none"/>
        </w:rPr>
        <w:t>的内容，包括采购需求中的技术、服务要求以及合同草案条款。</w:t>
      </w:r>
      <w:r>
        <w:rPr>
          <w:rFonts w:hint="eastAsia" w:hAnsi="宋体"/>
          <w:color w:val="auto"/>
          <w:highlight w:val="none"/>
        </w:rPr>
        <w:t>询比采购文件</w:t>
      </w:r>
      <w:r>
        <w:rPr>
          <w:rFonts w:hAnsi="宋体"/>
          <w:color w:val="auto"/>
          <w:highlight w:val="none"/>
        </w:rPr>
        <w:t>有实质性变动的，</w:t>
      </w:r>
      <w:r>
        <w:rPr>
          <w:rFonts w:hint="eastAsia" w:hAnsi="宋体"/>
          <w:color w:val="auto"/>
          <w:highlight w:val="none"/>
        </w:rPr>
        <w:t>经采购人代表确认作为询比采购文件的有效组成部分，</w:t>
      </w:r>
      <w:r>
        <w:rPr>
          <w:rFonts w:hint="eastAsia" w:hAnsi="宋体" w:cs="宋体"/>
          <w:color w:val="auto"/>
          <w:szCs w:val="22"/>
          <w:highlight w:val="none"/>
        </w:rPr>
        <w:t>评审委员</w:t>
      </w:r>
      <w:r>
        <w:rPr>
          <w:rFonts w:hint="eastAsia" w:hAnsi="宋体"/>
          <w:color w:val="auto"/>
          <w:highlight w:val="none"/>
        </w:rPr>
        <w:t>将</w:t>
      </w:r>
      <w:r>
        <w:rPr>
          <w:rFonts w:hAnsi="宋体"/>
          <w:color w:val="auto"/>
          <w:highlight w:val="none"/>
        </w:rPr>
        <w:t>以书面形式通知所有参加</w:t>
      </w:r>
      <w:r>
        <w:rPr>
          <w:rFonts w:hint="eastAsia" w:hAnsi="宋体"/>
          <w:color w:val="auto"/>
          <w:highlight w:val="none"/>
        </w:rPr>
        <w:t>询比</w:t>
      </w:r>
      <w:r>
        <w:rPr>
          <w:rFonts w:hAnsi="宋体"/>
          <w:color w:val="auto"/>
          <w:highlight w:val="none"/>
        </w:rPr>
        <w:t>的供应商。</w:t>
      </w:r>
    </w:p>
    <w:p>
      <w:pPr>
        <w:spacing w:line="360" w:lineRule="auto"/>
        <w:ind w:firstLine="470" w:firstLineChars="196"/>
        <w:rPr>
          <w:rFonts w:hAnsi="宋体"/>
          <w:color w:val="auto"/>
          <w:highlight w:val="none"/>
        </w:rPr>
      </w:pPr>
      <w:r>
        <w:rPr>
          <w:rFonts w:hAnsi="宋体"/>
          <w:color w:val="auto"/>
          <w:highlight w:val="none"/>
        </w:rPr>
        <w:t>25</w:t>
      </w:r>
      <w:r>
        <w:rPr>
          <w:rFonts w:hint="eastAsia" w:hAnsi="宋体"/>
          <w:color w:val="auto"/>
          <w:highlight w:val="none"/>
        </w:rPr>
        <w:t>.1</w:t>
      </w:r>
      <w:r>
        <w:rPr>
          <w:rFonts w:hAnsi="宋体"/>
          <w:color w:val="auto"/>
          <w:highlight w:val="none"/>
        </w:rPr>
        <w:t>1</w:t>
      </w:r>
      <w:r>
        <w:rPr>
          <w:rFonts w:hint="eastAsia" w:hAnsi="宋体"/>
          <w:color w:val="auto"/>
          <w:highlight w:val="none"/>
        </w:rPr>
        <w:t>询比过程中，评审委员会发现供应商的报价或者某些分项报价明显不合理或者低于成本，有可能影响商品质量和不能诚信履约的，应当要求其在规定的期限内提供书面文件予以解释说明，并提交相关证明材料；否则，评审委员会可以取消该供应商的成交候选资格，按顺序由排在后面的成交候选供应商递补，以此类推。</w:t>
      </w:r>
    </w:p>
    <w:p>
      <w:pPr>
        <w:pStyle w:val="2"/>
        <w:ind w:firstLine="480" w:firstLineChars="200"/>
        <w:rPr>
          <w:rFonts w:hAnsi="宋体"/>
          <w:color w:val="auto"/>
          <w:kern w:val="0"/>
          <w:sz w:val="24"/>
          <w:highlight w:val="none"/>
        </w:rPr>
      </w:pPr>
      <w:r>
        <w:rPr>
          <w:rFonts w:hAnsi="宋体"/>
          <w:color w:val="auto"/>
          <w:kern w:val="0"/>
          <w:sz w:val="24"/>
          <w:highlight w:val="none"/>
        </w:rPr>
        <w:t>25</w:t>
      </w:r>
      <w:r>
        <w:rPr>
          <w:rFonts w:hint="eastAsia" w:hAnsi="宋体"/>
          <w:color w:val="auto"/>
          <w:kern w:val="0"/>
          <w:sz w:val="24"/>
          <w:highlight w:val="none"/>
        </w:rPr>
        <w:t>.1</w:t>
      </w:r>
      <w:r>
        <w:rPr>
          <w:rFonts w:hAnsi="宋体"/>
          <w:color w:val="auto"/>
          <w:kern w:val="0"/>
          <w:sz w:val="24"/>
          <w:highlight w:val="none"/>
        </w:rPr>
        <w:t>2</w:t>
      </w:r>
      <w:r>
        <w:rPr>
          <w:rFonts w:hint="eastAsia" w:hAnsi="宋体"/>
          <w:color w:val="auto"/>
          <w:kern w:val="0"/>
          <w:sz w:val="24"/>
          <w:highlight w:val="none"/>
        </w:rPr>
        <w:t>本评审办法的解释权属于采购人和采购代理单位。</w:t>
      </w:r>
    </w:p>
    <w:p>
      <w:pPr>
        <w:pStyle w:val="3"/>
        <w:spacing w:before="260" w:after="260" w:line="500" w:lineRule="exact"/>
        <w:jc w:val="center"/>
        <w:rPr>
          <w:rFonts w:hAnsi="宋体"/>
          <w:color w:val="auto"/>
          <w:sz w:val="24"/>
          <w:szCs w:val="24"/>
          <w:highlight w:val="none"/>
        </w:rPr>
      </w:pPr>
      <w:r>
        <w:rPr>
          <w:rFonts w:hint="eastAsia" w:hAnsi="宋体"/>
          <w:color w:val="auto"/>
          <w:highlight w:val="none"/>
        </w:rPr>
        <w:br w:type="page"/>
      </w:r>
      <w:bookmarkStart w:id="122" w:name="_Toc29792"/>
      <w:bookmarkStart w:id="123" w:name="_Toc25293"/>
      <w:r>
        <w:rPr>
          <w:rFonts w:hint="eastAsia" w:hAnsi="宋体"/>
          <w:color w:val="auto"/>
          <w:highlight w:val="none"/>
        </w:rPr>
        <w:t>六、</w:t>
      </w:r>
      <w:bookmarkEnd w:id="117"/>
      <w:bookmarkEnd w:id="118"/>
      <w:bookmarkEnd w:id="119"/>
      <w:bookmarkEnd w:id="120"/>
      <w:bookmarkEnd w:id="121"/>
      <w:bookmarkEnd w:id="122"/>
      <w:r>
        <w:rPr>
          <w:rFonts w:hint="eastAsia" w:hAnsi="宋体"/>
          <w:color w:val="auto"/>
          <w:highlight w:val="none"/>
        </w:rPr>
        <w:t>合同条款</w:t>
      </w:r>
      <w:bookmarkEnd w:id="123"/>
    </w:p>
    <w:p>
      <w:pPr>
        <w:spacing w:line="360" w:lineRule="auto"/>
        <w:jc w:val="center"/>
        <w:rPr>
          <w:rFonts w:ascii="黑体" w:hAnsi="黑体" w:eastAsia="黑体"/>
          <w:bCs/>
          <w:color w:val="auto"/>
          <w:sz w:val="32"/>
          <w:szCs w:val="32"/>
          <w:highlight w:val="none"/>
        </w:rPr>
      </w:pPr>
      <w:r>
        <w:rPr>
          <w:rFonts w:hint="eastAsia" w:hAnsi="宋体" w:cs="宋体"/>
          <w:b/>
          <w:color w:val="auto"/>
          <w:kern w:val="2"/>
          <w:sz w:val="32"/>
          <w:szCs w:val="32"/>
          <w:highlight w:val="none"/>
        </w:rPr>
        <w:t>中水淮河规划设计研究有限公司员工活动中心项目</w:t>
      </w:r>
      <w:r>
        <w:rPr>
          <w:rFonts w:hint="eastAsia" w:ascii="黑体" w:hAnsi="黑体" w:eastAsia="黑体"/>
          <w:bCs/>
          <w:color w:val="auto"/>
          <w:sz w:val="32"/>
          <w:szCs w:val="32"/>
          <w:highlight w:val="none"/>
        </w:rPr>
        <w:t>合同协议书</w:t>
      </w:r>
    </w:p>
    <w:p>
      <w:pPr>
        <w:adjustRightInd w:val="0"/>
        <w:snapToGrid w:val="0"/>
        <w:spacing w:before="100" w:beforeAutospacing="1" w:after="100" w:afterAutospacing="1" w:line="276" w:lineRule="auto"/>
        <w:rPr>
          <w:rFonts w:hAnsi="宋体"/>
          <w:b/>
          <w:color w:val="auto"/>
          <w:highlight w:val="none"/>
          <w:u w:val="single"/>
        </w:rPr>
      </w:pPr>
      <w:r>
        <w:rPr>
          <w:rFonts w:hint="eastAsia" w:hAnsi="宋体"/>
          <w:b/>
          <w:color w:val="auto"/>
          <w:highlight w:val="none"/>
        </w:rPr>
        <w:t>发包人：</w:t>
      </w:r>
      <w:r>
        <w:rPr>
          <w:rFonts w:hint="eastAsia" w:hAnsi="宋体"/>
          <w:b/>
          <w:color w:val="auto"/>
          <w:highlight w:val="none"/>
          <w:u w:val="single"/>
        </w:rPr>
        <w:t xml:space="preserve">                         </w:t>
      </w:r>
    </w:p>
    <w:p>
      <w:pPr>
        <w:adjustRightInd w:val="0"/>
        <w:snapToGrid w:val="0"/>
        <w:spacing w:before="100" w:beforeAutospacing="1" w:after="100" w:afterAutospacing="1" w:line="276" w:lineRule="auto"/>
        <w:rPr>
          <w:rFonts w:hAnsi="宋体"/>
          <w:b/>
          <w:color w:val="auto"/>
          <w:highlight w:val="none"/>
        </w:rPr>
      </w:pPr>
      <w:r>
        <w:rPr>
          <w:rFonts w:hint="eastAsia" w:hAnsi="宋体"/>
          <w:b/>
          <w:color w:val="auto"/>
          <w:highlight w:val="none"/>
        </w:rPr>
        <w:t>承包人：</w:t>
      </w:r>
      <w:r>
        <w:rPr>
          <w:rFonts w:hint="eastAsia" w:hAnsi="宋体"/>
          <w:b/>
          <w:color w:val="auto"/>
          <w:highlight w:val="none"/>
          <w:u w:val="single"/>
        </w:rPr>
        <w:t xml:space="preserve">                         </w:t>
      </w:r>
      <w:r>
        <w:rPr>
          <w:rFonts w:hint="eastAsia" w:hAnsi="宋体"/>
          <w:b/>
          <w:color w:val="auto"/>
          <w:highlight w:val="none"/>
        </w:rPr>
        <w:t xml:space="preserve">  </w:t>
      </w:r>
    </w:p>
    <w:p>
      <w:pPr>
        <w:autoSpaceDE w:val="0"/>
        <w:autoSpaceDN w:val="0"/>
        <w:adjustRightInd w:val="0"/>
        <w:snapToGrid w:val="0"/>
        <w:spacing w:line="360" w:lineRule="auto"/>
        <w:ind w:firstLine="495"/>
        <w:rPr>
          <w:rFonts w:hAnsi="宋体"/>
          <w:color w:val="auto"/>
          <w:highlight w:val="none"/>
        </w:rPr>
      </w:pPr>
      <w:r>
        <w:rPr>
          <w:rFonts w:hint="eastAsia" w:hAnsi="宋体"/>
          <w:color w:val="auto"/>
          <w:highlight w:val="none"/>
        </w:rPr>
        <w:t>依照《中华人民共和国合同法》及有关法律规定，遵循平等、自愿、公平和诚实信用的原则，双方就</w:t>
      </w:r>
      <w:r>
        <w:rPr>
          <w:rFonts w:hint="eastAsia" w:hAnsi="宋体"/>
          <w:color w:val="auto"/>
          <w:highlight w:val="none"/>
          <w:u w:val="single"/>
        </w:rPr>
        <w:t>中水淮河规划设计研究有限公司员工活动中心项目</w:t>
      </w:r>
      <w:r>
        <w:rPr>
          <w:rFonts w:hint="eastAsia" w:hAnsi="宋体"/>
          <w:color w:val="auto"/>
          <w:highlight w:val="none"/>
        </w:rPr>
        <w:t>及有关事项协商一致，共同达成如下协议：</w:t>
      </w:r>
    </w:p>
    <w:p>
      <w:pPr>
        <w:pStyle w:val="24"/>
        <w:adjustRightInd w:val="0"/>
        <w:snapToGrid w:val="0"/>
        <w:ind w:firstLine="482"/>
        <w:jc w:val="left"/>
        <w:outlineLvl w:val="1"/>
        <w:rPr>
          <w:rFonts w:ascii="黑体" w:hAnsi="黑体" w:eastAsia="黑体"/>
          <w:b/>
          <w:color w:val="auto"/>
          <w:highlight w:val="none"/>
        </w:rPr>
      </w:pPr>
      <w:bookmarkStart w:id="124" w:name="_Toc307471124"/>
      <w:bookmarkStart w:id="125" w:name="_Toc26651"/>
      <w:bookmarkStart w:id="126" w:name="_Toc14021"/>
      <w:r>
        <w:rPr>
          <w:rFonts w:hint="eastAsia" w:ascii="黑体" w:hAnsi="黑体" w:eastAsia="黑体"/>
          <w:b/>
          <w:color w:val="auto"/>
          <w:highlight w:val="none"/>
        </w:rPr>
        <w:t>一、项目概况</w:t>
      </w:r>
      <w:bookmarkEnd w:id="124"/>
      <w:bookmarkEnd w:id="125"/>
      <w:bookmarkEnd w:id="126"/>
      <w:r>
        <w:rPr>
          <w:rFonts w:hint="eastAsia" w:ascii="黑体" w:hAnsi="黑体" w:eastAsia="黑体"/>
          <w:b/>
          <w:color w:val="auto"/>
          <w:highlight w:val="none"/>
        </w:rPr>
        <w:t xml:space="preserve"> </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1.1项目名称：</w:t>
      </w:r>
      <w:r>
        <w:rPr>
          <w:rFonts w:hint="eastAsia" w:hAnsi="宋体"/>
          <w:color w:val="auto"/>
          <w:highlight w:val="none"/>
          <w:u w:val="single"/>
        </w:rPr>
        <w:t xml:space="preserve">中水淮河规划设计研究有限公司员工活动中心项目 </w:t>
      </w:r>
      <w:r>
        <w:rPr>
          <w:rFonts w:hint="eastAsia" w:hAnsi="宋体"/>
          <w:color w:val="auto"/>
          <w:highlight w:val="none"/>
        </w:rPr>
        <w:t xml:space="preserve">                               </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1.2项目地点：</w:t>
      </w:r>
      <w:r>
        <w:rPr>
          <w:rFonts w:hint="eastAsia" w:hAnsi="宋体"/>
          <w:color w:val="auto"/>
          <w:highlight w:val="none"/>
          <w:u w:val="single"/>
        </w:rPr>
        <w:t>中水淮河规划设计研究有限公司</w:t>
      </w:r>
      <w:r>
        <w:rPr>
          <w:rFonts w:hint="eastAsia" w:hAnsi="宋体"/>
          <w:color w:val="auto"/>
          <w:highlight w:val="none"/>
        </w:rPr>
        <w:t xml:space="preserve">                               </w:t>
      </w:r>
    </w:p>
    <w:p>
      <w:pPr>
        <w:adjustRightInd w:val="0"/>
        <w:snapToGrid w:val="0"/>
        <w:spacing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3</w:t>
      </w:r>
      <w:r>
        <w:rPr>
          <w:rFonts w:hint="eastAsia" w:hAnsi="宋体"/>
          <w:color w:val="auto"/>
          <w:highlight w:val="none"/>
        </w:rPr>
        <w:t xml:space="preserve"> 项目内容：</w:t>
      </w:r>
      <w:r>
        <w:rPr>
          <w:rFonts w:hint="eastAsia" w:hAnsi="宋体" w:cs="宋体"/>
          <w:color w:val="auto"/>
          <w:szCs w:val="18"/>
          <w:highlight w:val="none"/>
        </w:rPr>
        <w:t>水淮河规划设计研究有限公司员工活动中心项目位于合肥市滨湖新区云谷路2588号（淮委合肥水利科研基地淮河科研中心辅楼）。采购</w:t>
      </w:r>
      <w:r>
        <w:rPr>
          <w:rFonts w:hAnsi="宋体" w:cs="宋体"/>
          <w:color w:val="auto"/>
          <w:szCs w:val="18"/>
          <w:highlight w:val="none"/>
        </w:rPr>
        <w:t>内容</w:t>
      </w:r>
      <w:r>
        <w:rPr>
          <w:rFonts w:hint="eastAsia" w:hAnsi="宋体" w:cs="宋体"/>
          <w:color w:val="auto"/>
          <w:szCs w:val="18"/>
          <w:highlight w:val="none"/>
        </w:rPr>
        <w:t>为中水淮河规划设计研究有限公司员工活动中心装饰装修及改造，</w:t>
      </w:r>
      <w:r>
        <w:rPr>
          <w:rFonts w:hint="eastAsia"/>
          <w:color w:val="auto"/>
          <w:highlight w:val="none"/>
        </w:rPr>
        <w:t>面积约380平方米</w:t>
      </w:r>
      <w:r>
        <w:rPr>
          <w:rFonts w:hint="eastAsia" w:hAnsi="宋体"/>
          <w:color w:val="auto"/>
          <w:highlight w:val="none"/>
          <w:u w:val="single"/>
        </w:rPr>
        <w:t xml:space="preserve">，详见工程量清单。  </w:t>
      </w:r>
      <w:r>
        <w:rPr>
          <w:rFonts w:hint="eastAsia" w:hAnsi="宋体"/>
          <w:color w:val="auto"/>
          <w:highlight w:val="none"/>
        </w:rPr>
        <w:t xml:space="preserve">                           </w:t>
      </w:r>
    </w:p>
    <w:p>
      <w:pPr>
        <w:adjustRightInd w:val="0"/>
        <w:snapToGrid w:val="0"/>
        <w:spacing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4</w:t>
      </w:r>
      <w:r>
        <w:rPr>
          <w:rFonts w:hint="eastAsia" w:hAnsi="宋体"/>
          <w:color w:val="auto"/>
          <w:highlight w:val="none"/>
        </w:rPr>
        <w:t>承包范围：</w:t>
      </w:r>
      <w:r>
        <w:rPr>
          <w:rFonts w:hint="eastAsia" w:hAnsi="宋体" w:cs="宋体"/>
          <w:color w:val="auto"/>
          <w:szCs w:val="18"/>
          <w:highlight w:val="none"/>
        </w:rPr>
        <w:t>中水淮河规划设计研究有限公司员工活动中心</w:t>
      </w:r>
      <w:r>
        <w:rPr>
          <w:rFonts w:hint="eastAsia" w:hAnsi="宋体" w:cs="宋体"/>
          <w:color w:val="auto"/>
          <w:szCs w:val="18"/>
          <w:highlight w:val="none"/>
          <w:u w:val="single"/>
        </w:rPr>
        <w:t>装饰装修及改造</w:t>
      </w:r>
      <w:r>
        <w:rPr>
          <w:rFonts w:hint="eastAsia" w:hAnsi="宋体"/>
          <w:color w:val="auto"/>
          <w:highlight w:val="none"/>
          <w:u w:val="single"/>
        </w:rPr>
        <w:t>（含</w:t>
      </w:r>
      <w:r>
        <w:rPr>
          <w:rFonts w:hint="eastAsia"/>
          <w:b/>
          <w:bCs/>
          <w:color w:val="auto"/>
          <w:highlight w:val="none"/>
          <w:u w:val="single"/>
        </w:rPr>
        <w:t>装饰相关部分</w:t>
      </w:r>
      <w:r>
        <w:rPr>
          <w:rFonts w:hint="eastAsia" w:hAnsi="宋体"/>
          <w:color w:val="auto"/>
          <w:highlight w:val="none"/>
          <w:u w:val="single"/>
        </w:rPr>
        <w:t>、</w:t>
      </w:r>
      <w:r>
        <w:rPr>
          <w:rFonts w:hint="eastAsia"/>
          <w:b/>
          <w:bCs/>
          <w:color w:val="auto"/>
          <w:highlight w:val="none"/>
          <w:u w:val="single"/>
        </w:rPr>
        <w:t>空调及新风系统</w:t>
      </w:r>
      <w:r>
        <w:rPr>
          <w:rFonts w:hint="eastAsia" w:hAnsi="宋体"/>
          <w:color w:val="auto"/>
          <w:highlight w:val="none"/>
          <w:u w:val="single"/>
        </w:rPr>
        <w:t>等），并安装</w:t>
      </w:r>
      <w:r>
        <w:rPr>
          <w:rFonts w:hint="eastAsia"/>
          <w:b/>
          <w:bCs/>
          <w:color w:val="auto"/>
          <w:highlight w:val="none"/>
          <w:u w:val="single"/>
        </w:rPr>
        <w:t>乒乓球专项器材</w:t>
      </w:r>
      <w:r>
        <w:rPr>
          <w:rFonts w:hint="eastAsia" w:hAnsi="宋体"/>
          <w:color w:val="auto"/>
          <w:highlight w:val="none"/>
          <w:u w:val="single"/>
        </w:rPr>
        <w:t>，安装完成后进行调试直至验收合格，并承担质保服务。</w:t>
      </w:r>
      <w:r>
        <w:rPr>
          <w:rFonts w:hint="eastAsia" w:hAnsi="宋体"/>
          <w:color w:val="auto"/>
          <w:highlight w:val="none"/>
        </w:rPr>
        <w:t xml:space="preserve">                         </w:t>
      </w:r>
    </w:p>
    <w:p>
      <w:pPr>
        <w:adjustRightInd w:val="0"/>
        <w:snapToGrid w:val="0"/>
        <w:spacing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5</w:t>
      </w:r>
      <w:r>
        <w:rPr>
          <w:rFonts w:hint="eastAsia" w:hAnsi="宋体"/>
          <w:color w:val="auto"/>
          <w:highlight w:val="none"/>
        </w:rPr>
        <w:t>承包方式：</w:t>
      </w:r>
      <w:r>
        <w:rPr>
          <w:rFonts w:hint="eastAsia" w:hAnsi="宋体"/>
          <w:color w:val="auto"/>
          <w:highlight w:val="none"/>
          <w:u w:val="single"/>
        </w:rPr>
        <w:t xml:space="preserve">  单价承包  </w:t>
      </w:r>
      <w:r>
        <w:rPr>
          <w:rFonts w:hint="eastAsia" w:hAnsi="宋体"/>
          <w:color w:val="auto"/>
          <w:highlight w:val="none"/>
        </w:rPr>
        <w:t xml:space="preserve">                          </w:t>
      </w:r>
    </w:p>
    <w:p>
      <w:pPr>
        <w:pStyle w:val="24"/>
        <w:adjustRightInd w:val="0"/>
        <w:snapToGrid w:val="0"/>
        <w:ind w:firstLine="482"/>
        <w:jc w:val="left"/>
        <w:outlineLvl w:val="1"/>
        <w:rPr>
          <w:rFonts w:ascii="黑体" w:hAnsi="黑体" w:eastAsia="黑体"/>
          <w:b/>
          <w:color w:val="auto"/>
          <w:highlight w:val="none"/>
        </w:rPr>
      </w:pPr>
      <w:bookmarkStart w:id="127" w:name="_Toc21528"/>
      <w:bookmarkStart w:id="128" w:name="_Toc26006"/>
      <w:r>
        <w:rPr>
          <w:rFonts w:hint="eastAsia" w:ascii="黑体" w:hAnsi="黑体" w:eastAsia="黑体"/>
          <w:b/>
          <w:color w:val="auto"/>
          <w:highlight w:val="none"/>
        </w:rPr>
        <w:t>二、合同工期：</w:t>
      </w:r>
      <w:bookmarkEnd w:id="127"/>
      <w:bookmarkEnd w:id="128"/>
      <w:r>
        <w:rPr>
          <w:rFonts w:hint="eastAsia" w:ascii="黑体" w:hAnsi="黑体" w:eastAsia="黑体"/>
          <w:b/>
          <w:color w:val="auto"/>
          <w:highlight w:val="none"/>
        </w:rPr>
        <w:t xml:space="preserve"> </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计划开工日期：</w:t>
      </w:r>
      <w:r>
        <w:rPr>
          <w:rFonts w:hint="eastAsia" w:hAnsi="宋体"/>
          <w:color w:val="auto"/>
          <w:highlight w:val="none"/>
          <w:u w:val="single"/>
        </w:rPr>
        <w:t xml:space="preserve">     </w:t>
      </w:r>
      <w:r>
        <w:rPr>
          <w:rFonts w:hint="eastAsia" w:hAnsi="宋体"/>
          <w:color w:val="auto"/>
          <w:highlight w:val="none"/>
        </w:rPr>
        <w:t xml:space="preserve"> 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计划竣工日期：</w:t>
      </w:r>
      <w:r>
        <w:rPr>
          <w:rFonts w:hint="eastAsia" w:hAnsi="宋体"/>
          <w:color w:val="auto"/>
          <w:highlight w:val="none"/>
          <w:u w:val="single"/>
        </w:rPr>
        <w:t xml:space="preserve">     </w:t>
      </w:r>
      <w:r>
        <w:rPr>
          <w:rFonts w:hint="eastAsia" w:hAnsi="宋体"/>
          <w:color w:val="auto"/>
          <w:highlight w:val="none"/>
        </w:rPr>
        <w:t xml:space="preserve"> 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合同总工期：</w:t>
      </w:r>
      <w:r>
        <w:rPr>
          <w:rFonts w:hint="eastAsia" w:hAnsi="宋体"/>
          <w:color w:val="auto"/>
          <w:highlight w:val="none"/>
          <w:u w:val="single"/>
        </w:rPr>
        <w:t xml:space="preserve">            </w:t>
      </w:r>
      <w:r>
        <w:rPr>
          <w:rFonts w:hint="eastAsia" w:hAnsi="宋体"/>
          <w:color w:val="auto"/>
          <w:highlight w:val="none"/>
        </w:rPr>
        <w:t>个日历日。工期总日历天数与根据前述计划开竣工日期计算的工期天数不一致的，以工期总日历天数为准。</w:t>
      </w:r>
    </w:p>
    <w:p>
      <w:pPr>
        <w:pStyle w:val="24"/>
        <w:adjustRightInd w:val="0"/>
        <w:snapToGrid w:val="0"/>
        <w:ind w:firstLine="482"/>
        <w:jc w:val="left"/>
        <w:outlineLvl w:val="1"/>
        <w:rPr>
          <w:rFonts w:ascii="黑体" w:hAnsi="黑体" w:eastAsia="黑体"/>
          <w:b/>
          <w:color w:val="auto"/>
          <w:highlight w:val="none"/>
        </w:rPr>
      </w:pPr>
      <w:bookmarkStart w:id="129" w:name="_Toc20852"/>
      <w:bookmarkStart w:id="130" w:name="_Toc8613"/>
      <w:r>
        <w:rPr>
          <w:rFonts w:hint="eastAsia" w:ascii="黑体" w:hAnsi="黑体" w:eastAsia="黑体"/>
          <w:b/>
          <w:color w:val="auto"/>
          <w:highlight w:val="none"/>
        </w:rPr>
        <w:t>三、质量标准：</w:t>
      </w:r>
      <w:bookmarkEnd w:id="129"/>
      <w:bookmarkEnd w:id="130"/>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工程质量符合按国家相关规范验收，</w:t>
      </w:r>
      <w:r>
        <w:rPr>
          <w:rFonts w:hint="eastAsia" w:hAnsi="宋体"/>
          <w:color w:val="auto"/>
          <w:highlight w:val="none"/>
          <w:u w:val="single"/>
        </w:rPr>
        <w:t>合格</w:t>
      </w:r>
      <w:r>
        <w:rPr>
          <w:rFonts w:hint="eastAsia" w:hAnsi="宋体"/>
          <w:color w:val="auto"/>
          <w:highlight w:val="none"/>
        </w:rPr>
        <w:t>标准。</w:t>
      </w:r>
    </w:p>
    <w:p>
      <w:pPr>
        <w:pStyle w:val="24"/>
        <w:adjustRightInd w:val="0"/>
        <w:snapToGrid w:val="0"/>
        <w:ind w:firstLine="482"/>
        <w:jc w:val="left"/>
        <w:outlineLvl w:val="1"/>
        <w:rPr>
          <w:rFonts w:ascii="黑体" w:hAnsi="黑体" w:eastAsia="黑体"/>
          <w:b/>
          <w:color w:val="auto"/>
          <w:highlight w:val="none"/>
        </w:rPr>
      </w:pPr>
      <w:bookmarkStart w:id="131" w:name="_Toc28628"/>
      <w:bookmarkStart w:id="132" w:name="_Toc31204"/>
      <w:r>
        <w:rPr>
          <w:rFonts w:hint="eastAsia" w:ascii="黑体" w:hAnsi="黑体" w:eastAsia="黑体"/>
          <w:b/>
          <w:color w:val="auto"/>
          <w:highlight w:val="none"/>
        </w:rPr>
        <w:t>四、合同价与工程计价原则</w:t>
      </w:r>
      <w:bookmarkEnd w:id="131"/>
      <w:bookmarkEnd w:id="132"/>
    </w:p>
    <w:p>
      <w:pPr>
        <w:adjustRightInd w:val="0"/>
        <w:snapToGrid w:val="0"/>
        <w:spacing w:line="360" w:lineRule="auto"/>
        <w:ind w:firstLine="480" w:firstLineChars="20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1</w:t>
      </w:r>
      <w:r>
        <w:rPr>
          <w:rFonts w:hint="eastAsia" w:hAnsi="宋体"/>
          <w:color w:val="auto"/>
          <w:highlight w:val="none"/>
        </w:rPr>
        <w:t>合同价为：</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人民币（大写）：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元）</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上述金额为含税价格。</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4.2按实际发生的工程量和承包人的中标单价结算。</w:t>
      </w:r>
    </w:p>
    <w:p>
      <w:pPr>
        <w:pStyle w:val="24"/>
        <w:adjustRightInd w:val="0"/>
        <w:snapToGrid w:val="0"/>
        <w:ind w:firstLine="482"/>
        <w:jc w:val="left"/>
        <w:outlineLvl w:val="1"/>
        <w:rPr>
          <w:rFonts w:ascii="黑体" w:hAnsi="黑体" w:eastAsia="黑体"/>
          <w:b/>
          <w:color w:val="auto"/>
          <w:highlight w:val="none"/>
        </w:rPr>
      </w:pPr>
      <w:bookmarkStart w:id="133" w:name="_Toc307471126"/>
      <w:bookmarkStart w:id="134" w:name="_Toc520"/>
      <w:bookmarkStart w:id="135" w:name="_Toc23055"/>
      <w:r>
        <w:rPr>
          <w:rFonts w:hint="eastAsia" w:ascii="黑体" w:hAnsi="黑体" w:eastAsia="黑体"/>
          <w:b/>
          <w:color w:val="auto"/>
          <w:highlight w:val="none"/>
        </w:rPr>
        <w:t>五、 发包人义务</w:t>
      </w:r>
      <w:bookmarkEnd w:id="133"/>
      <w:bookmarkEnd w:id="134"/>
      <w:bookmarkEnd w:id="135"/>
    </w:p>
    <w:p>
      <w:pPr>
        <w:adjustRightInd w:val="0"/>
        <w:snapToGrid w:val="0"/>
        <w:spacing w:line="360" w:lineRule="auto"/>
        <w:ind w:firstLine="480" w:firstLineChars="200"/>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1</w:t>
      </w:r>
      <w:r>
        <w:rPr>
          <w:rFonts w:hint="eastAsia" w:hAnsi="宋体"/>
          <w:color w:val="auto"/>
          <w:highlight w:val="none"/>
        </w:rPr>
        <w:t xml:space="preserve"> 开工前7个日历日内，发包人向承包人进行施工交底;</w:t>
      </w:r>
    </w:p>
    <w:p>
      <w:pPr>
        <w:adjustRightInd w:val="0"/>
        <w:snapToGrid w:val="0"/>
        <w:spacing w:line="360" w:lineRule="auto"/>
        <w:ind w:firstLine="480" w:firstLineChars="200"/>
        <w:rPr>
          <w:rFonts w:hAnsi="宋体"/>
          <w:color w:val="auto"/>
          <w:highlight w:val="none"/>
        </w:rPr>
      </w:pPr>
      <w:r>
        <w:rPr>
          <w:rFonts w:hAnsi="宋体"/>
          <w:color w:val="auto"/>
          <w:highlight w:val="none"/>
        </w:rPr>
        <w:t>5</w:t>
      </w:r>
      <w:r>
        <w:rPr>
          <w:rFonts w:hint="eastAsia" w:hAnsi="宋体"/>
          <w:color w:val="auto"/>
          <w:highlight w:val="none"/>
        </w:rPr>
        <w:t>.2 发包人有施工图则由发包人提供；如未有的，则承包人根据发包人要求负责绘制施工图纸报发包人确认，确认后承包人予以施工；</w:t>
      </w:r>
    </w:p>
    <w:p>
      <w:pPr>
        <w:adjustRightInd w:val="0"/>
        <w:snapToGrid w:val="0"/>
        <w:spacing w:line="360" w:lineRule="auto"/>
        <w:ind w:firstLine="480" w:firstLineChars="200"/>
        <w:rPr>
          <w:rFonts w:hAnsi="宋体"/>
          <w:color w:val="auto"/>
          <w:highlight w:val="none"/>
        </w:rPr>
      </w:pPr>
      <w:r>
        <w:rPr>
          <w:rFonts w:hAnsi="宋体"/>
          <w:color w:val="auto"/>
          <w:highlight w:val="none"/>
        </w:rPr>
        <w:t>5.</w:t>
      </w:r>
      <w:r>
        <w:rPr>
          <w:rFonts w:hint="eastAsia" w:hAnsi="宋体"/>
          <w:color w:val="auto"/>
          <w:highlight w:val="none"/>
        </w:rPr>
        <w:t>3</w:t>
      </w:r>
      <w:r>
        <w:rPr>
          <w:rFonts w:hAnsi="宋体"/>
          <w:color w:val="auto"/>
          <w:highlight w:val="none"/>
        </w:rPr>
        <w:t xml:space="preserve"> </w:t>
      </w:r>
      <w:r>
        <w:rPr>
          <w:rFonts w:hint="eastAsia" w:hAnsi="宋体"/>
          <w:color w:val="auto"/>
          <w:highlight w:val="none"/>
        </w:rPr>
        <w:t xml:space="preserve">发包人委派 </w:t>
      </w:r>
      <w:r>
        <w:rPr>
          <w:rFonts w:hint="eastAsia" w:hAnsi="宋体"/>
          <w:color w:val="auto"/>
          <w:highlight w:val="none"/>
          <w:u w:val="single"/>
        </w:rPr>
        <w:t xml:space="preserve">       </w:t>
      </w: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）负责协调现场施工；</w:t>
      </w:r>
    </w:p>
    <w:p>
      <w:pPr>
        <w:adjustRightInd w:val="0"/>
        <w:snapToGrid w:val="0"/>
        <w:spacing w:line="360" w:lineRule="auto"/>
        <w:ind w:firstLine="480" w:firstLineChars="200"/>
        <w:rPr>
          <w:rFonts w:hAnsi="宋体"/>
          <w:color w:val="auto"/>
          <w:highlight w:val="none"/>
        </w:rPr>
      </w:pPr>
      <w:r>
        <w:rPr>
          <w:rFonts w:hAnsi="宋体"/>
          <w:color w:val="auto"/>
          <w:highlight w:val="none"/>
        </w:rPr>
        <w:t>5.</w:t>
      </w:r>
      <w:r>
        <w:rPr>
          <w:rFonts w:hint="eastAsia" w:hAnsi="宋体"/>
          <w:color w:val="auto"/>
          <w:highlight w:val="none"/>
        </w:rPr>
        <w:t>4</w:t>
      </w:r>
      <w:r>
        <w:rPr>
          <w:rFonts w:hAnsi="宋体"/>
          <w:color w:val="auto"/>
          <w:highlight w:val="none"/>
        </w:rPr>
        <w:t xml:space="preserve"> </w:t>
      </w:r>
      <w:r>
        <w:rPr>
          <w:rFonts w:hint="eastAsia" w:hAnsi="宋体"/>
          <w:color w:val="auto"/>
          <w:highlight w:val="none"/>
        </w:rPr>
        <w:t>发包人参与工程质量和施工进度的监督，负责材料进场、竣工验收;</w:t>
      </w:r>
    </w:p>
    <w:p>
      <w:pPr>
        <w:adjustRightInd w:val="0"/>
        <w:snapToGrid w:val="0"/>
        <w:spacing w:line="360" w:lineRule="auto"/>
        <w:ind w:firstLine="480" w:firstLineChars="200"/>
        <w:rPr>
          <w:rFonts w:hAnsi="宋体"/>
          <w:color w:val="auto"/>
          <w:highlight w:val="none"/>
        </w:rPr>
      </w:pPr>
      <w:r>
        <w:rPr>
          <w:rFonts w:hAnsi="宋体"/>
          <w:color w:val="auto"/>
          <w:highlight w:val="none"/>
        </w:rPr>
        <w:t>5</w:t>
      </w:r>
      <w:r>
        <w:rPr>
          <w:rFonts w:hint="eastAsia" w:hAnsi="宋体"/>
          <w:color w:val="auto"/>
          <w:highlight w:val="none"/>
        </w:rPr>
        <w:t>.5 发包人按合同约定支付工程款。</w:t>
      </w:r>
    </w:p>
    <w:p>
      <w:pPr>
        <w:pStyle w:val="24"/>
        <w:adjustRightInd w:val="0"/>
        <w:snapToGrid w:val="0"/>
        <w:ind w:firstLine="482"/>
        <w:jc w:val="left"/>
        <w:outlineLvl w:val="1"/>
        <w:rPr>
          <w:rFonts w:ascii="黑体" w:hAnsi="黑体" w:eastAsia="黑体"/>
          <w:b/>
          <w:color w:val="auto"/>
          <w:highlight w:val="none"/>
        </w:rPr>
      </w:pPr>
      <w:bookmarkStart w:id="136" w:name="_Toc307471127"/>
      <w:bookmarkStart w:id="137" w:name="_Toc12642"/>
      <w:bookmarkStart w:id="138" w:name="_Toc5193"/>
      <w:r>
        <w:rPr>
          <w:rFonts w:hint="eastAsia" w:ascii="黑体" w:hAnsi="黑体" w:eastAsia="黑体"/>
          <w:b/>
          <w:color w:val="auto"/>
          <w:highlight w:val="none"/>
        </w:rPr>
        <w:t>六、 承包人义务</w:t>
      </w:r>
      <w:bookmarkEnd w:id="136"/>
      <w:bookmarkEnd w:id="137"/>
      <w:bookmarkEnd w:id="138"/>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.1 承包人收到发包人设计要求后</w:t>
      </w:r>
      <w:r>
        <w:rPr>
          <w:rFonts w:hint="eastAsia" w:hAnsi="宋体"/>
          <w:color w:val="auto"/>
          <w:highlight w:val="none"/>
          <w:u w:val="single"/>
        </w:rPr>
        <w:t xml:space="preserve">   </w:t>
      </w:r>
      <w:r>
        <w:rPr>
          <w:rFonts w:hAnsi="宋体"/>
          <w:color w:val="auto"/>
          <w:highlight w:val="none"/>
          <w:u w:val="single"/>
        </w:rPr>
        <w:t>7</w:t>
      </w:r>
      <w:r>
        <w:rPr>
          <w:rFonts w:hint="eastAsia" w:hAnsi="宋体"/>
          <w:color w:val="auto"/>
          <w:highlight w:val="none"/>
          <w:u w:val="single"/>
        </w:rPr>
        <w:t xml:space="preserve">  </w:t>
      </w:r>
      <w:r>
        <w:rPr>
          <w:rFonts w:hint="eastAsia" w:hAnsi="宋体"/>
          <w:color w:val="auto"/>
          <w:highlight w:val="none"/>
        </w:rPr>
        <w:t>个日历日内提交施工图纸报发包人确认，确认后承包人予以施工，绘制图纸费用已包含在合同总价内。</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.2 承包人施工中严格执行安全、防火规范及质量标准。</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.3 承包人严格执行有关施工现场管理的规定，不得扰民及污染环境；</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.4 承包人在施工期间发生的安全事故，一切责任均由承包人负责承担；</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.5 承包人应做好设备、器材的防盗、防窃及工程成品、半成品的保护工作直至验收合格交付发包人为止；</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.6 保证施工现场的整洁，因工程施工而产生的垃圾，由承包人负责运出施工现场，做到工完场清，施工人员和设备必须及时撤离施工现场，费用已含在单价报价内；</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 xml:space="preserve">.7 承包人委派 </w:t>
      </w:r>
      <w:r>
        <w:rPr>
          <w:rFonts w:hint="eastAsia" w:hAnsi="宋体"/>
          <w:color w:val="auto"/>
          <w:highlight w:val="none"/>
          <w:u w:val="single"/>
        </w:rPr>
        <w:t xml:space="preserve">      </w:t>
      </w: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）同志负责现场协调工作；</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.8 承包人确保工期无条件符合合同约定及满足发包人要求。</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.9 按发包人要求支付施工用水电费。</w:t>
      </w:r>
    </w:p>
    <w:p>
      <w:pPr>
        <w:adjustRightInd w:val="0"/>
        <w:snapToGrid w:val="0"/>
        <w:spacing w:line="360" w:lineRule="auto"/>
        <w:ind w:firstLine="480" w:firstLineChars="200"/>
        <w:rPr>
          <w:rFonts w:hAnsi="宋体"/>
          <w:color w:val="auto"/>
          <w:highlight w:val="none"/>
        </w:rPr>
      </w:pPr>
      <w:r>
        <w:rPr>
          <w:rFonts w:hAnsi="宋体"/>
          <w:color w:val="auto"/>
          <w:highlight w:val="none"/>
        </w:rPr>
        <w:t>6</w:t>
      </w:r>
      <w:r>
        <w:rPr>
          <w:rFonts w:hint="eastAsia" w:hAnsi="宋体"/>
          <w:color w:val="auto"/>
          <w:highlight w:val="none"/>
        </w:rPr>
        <w:t>.10 如有废旧设备和材料，承包人需负责将拆除的部件免费运送至发包人指定地点，并办理移交手续，否则应承担拆除部件的价款（按折算价计算），并在结算合同价款时予以扣除。</w:t>
      </w:r>
    </w:p>
    <w:p>
      <w:pPr>
        <w:pStyle w:val="24"/>
        <w:adjustRightInd w:val="0"/>
        <w:snapToGrid w:val="0"/>
        <w:ind w:firstLine="482"/>
        <w:jc w:val="left"/>
        <w:outlineLvl w:val="1"/>
        <w:rPr>
          <w:rFonts w:ascii="黑体" w:hAnsi="黑体" w:eastAsia="黑体"/>
          <w:b/>
          <w:color w:val="auto"/>
          <w:highlight w:val="none"/>
        </w:rPr>
      </w:pPr>
      <w:bookmarkStart w:id="139" w:name="_Toc307471128"/>
      <w:bookmarkStart w:id="140" w:name="_Toc10141"/>
      <w:bookmarkStart w:id="141" w:name="_Toc21782"/>
      <w:r>
        <w:rPr>
          <w:rFonts w:hint="eastAsia" w:ascii="黑体" w:hAnsi="黑体" w:eastAsia="黑体"/>
          <w:b/>
          <w:color w:val="auto"/>
          <w:highlight w:val="none"/>
        </w:rPr>
        <w:t>七、材料的提供</w:t>
      </w:r>
      <w:bookmarkEnd w:id="139"/>
      <w:bookmarkEnd w:id="140"/>
      <w:bookmarkEnd w:id="141"/>
    </w:p>
    <w:p>
      <w:pPr>
        <w:adjustRightInd w:val="0"/>
        <w:snapToGrid w:val="0"/>
        <w:spacing w:line="360" w:lineRule="auto"/>
        <w:ind w:firstLine="480" w:firstLineChars="200"/>
        <w:rPr>
          <w:rFonts w:hAnsi="宋体"/>
          <w:color w:val="auto"/>
          <w:highlight w:val="none"/>
        </w:rPr>
      </w:pPr>
      <w:r>
        <w:rPr>
          <w:rFonts w:hAnsi="宋体"/>
          <w:color w:val="auto"/>
          <w:highlight w:val="none"/>
        </w:rPr>
        <w:t>7</w:t>
      </w:r>
      <w:r>
        <w:rPr>
          <w:rFonts w:hint="eastAsia" w:hAnsi="宋体"/>
          <w:color w:val="auto"/>
          <w:highlight w:val="none"/>
        </w:rPr>
        <w:t>.1</w:t>
      </w:r>
      <w:r>
        <w:rPr>
          <w:rFonts w:hAnsi="宋体"/>
          <w:color w:val="auto"/>
          <w:highlight w:val="none"/>
        </w:rPr>
        <w:t xml:space="preserve"> </w:t>
      </w:r>
      <w:r>
        <w:rPr>
          <w:rFonts w:hint="eastAsia" w:hAnsi="宋体"/>
          <w:color w:val="auto"/>
          <w:highlight w:val="none"/>
        </w:rPr>
        <w:t>承包人提供的材料、设备、器材，承包人应在运到施工现场前通知发包人，并接受发包人检验，经发包人验收合格后方可用于本工程。但发包人验收不免除承包人对材料设备、施工质量承担质量保证责任。</w:t>
      </w:r>
    </w:p>
    <w:p>
      <w:pPr>
        <w:adjustRightInd w:val="0"/>
        <w:snapToGrid w:val="0"/>
        <w:spacing w:line="360" w:lineRule="auto"/>
        <w:ind w:firstLine="480" w:firstLineChars="200"/>
        <w:rPr>
          <w:rFonts w:hAnsi="宋体"/>
          <w:color w:val="auto"/>
          <w:highlight w:val="none"/>
        </w:rPr>
      </w:pPr>
      <w:r>
        <w:rPr>
          <w:rFonts w:hAnsi="宋体"/>
          <w:color w:val="auto"/>
          <w:highlight w:val="none"/>
        </w:rPr>
        <w:t>7</w:t>
      </w:r>
      <w:r>
        <w:rPr>
          <w:rFonts w:hint="eastAsia" w:hAnsi="宋体"/>
          <w:color w:val="auto"/>
          <w:highlight w:val="none"/>
        </w:rPr>
        <w:t>.2 承包人保证所使用的材料、设备、器材是全新的、符合国家、省、市和工程所在地规定的质量、规格和性能要求的。如果承包人提供的材料、设备、器材等不符合合同约定技术标准或国家规定的质量技术标准，则发包人有权拒绝材料设备器材进场，承包人必须及时更换，由此造成的损失由承包人承担，且工期不得顺延。</w:t>
      </w:r>
    </w:p>
    <w:p>
      <w:pPr>
        <w:pStyle w:val="24"/>
        <w:adjustRightInd w:val="0"/>
        <w:snapToGrid w:val="0"/>
        <w:ind w:firstLine="482"/>
        <w:jc w:val="left"/>
        <w:outlineLvl w:val="1"/>
        <w:rPr>
          <w:rFonts w:ascii="黑体" w:hAnsi="黑体" w:eastAsia="黑体"/>
          <w:b/>
          <w:color w:val="auto"/>
          <w:highlight w:val="none"/>
        </w:rPr>
      </w:pPr>
      <w:bookmarkStart w:id="142" w:name="_Toc307471130"/>
      <w:bookmarkStart w:id="143" w:name="_Toc21891"/>
      <w:bookmarkStart w:id="144" w:name="_Toc1326"/>
      <w:r>
        <w:rPr>
          <w:rFonts w:hint="eastAsia" w:ascii="黑体" w:hAnsi="黑体" w:eastAsia="黑体"/>
          <w:b/>
          <w:color w:val="auto"/>
          <w:highlight w:val="none"/>
        </w:rPr>
        <w:t>八、工程验收和保修</w:t>
      </w:r>
      <w:bookmarkEnd w:id="142"/>
      <w:bookmarkEnd w:id="143"/>
      <w:bookmarkEnd w:id="144"/>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8</w:t>
      </w:r>
      <w:r>
        <w:rPr>
          <w:rFonts w:hAnsi="宋体"/>
          <w:color w:val="auto"/>
          <w:highlight w:val="none"/>
        </w:rPr>
        <w:t>.1</w:t>
      </w:r>
      <w:r>
        <w:rPr>
          <w:rFonts w:hint="eastAsia" w:hAnsi="宋体"/>
          <w:color w:val="auto"/>
          <w:highlight w:val="none"/>
        </w:rPr>
        <w:t xml:space="preserve"> 隐蔽工程的需及时通知发包人进行隐蔽验收；</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8</w:t>
      </w:r>
      <w:r>
        <w:rPr>
          <w:rFonts w:hAnsi="宋体"/>
          <w:color w:val="auto"/>
          <w:highlight w:val="none"/>
        </w:rPr>
        <w:t xml:space="preserve">.2 </w:t>
      </w:r>
      <w:r>
        <w:rPr>
          <w:rFonts w:hint="eastAsia" w:hAnsi="宋体"/>
          <w:color w:val="auto"/>
          <w:highlight w:val="none"/>
        </w:rPr>
        <w:t>工程竣工后，承包人应通知发包人验收，发包人接到通知后在2个日历日内组织运营单位（安徽绿城物业管理有限公司）、监理单位、中水淮河规划设计研究有限公司等有关单位联合验收，经验收合格后填写工程验收单并办理移交手续；</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8</w:t>
      </w:r>
      <w:r>
        <w:rPr>
          <w:rFonts w:hAnsi="宋体"/>
          <w:color w:val="auto"/>
          <w:highlight w:val="none"/>
        </w:rPr>
        <w:t xml:space="preserve">.3 </w:t>
      </w:r>
      <w:r>
        <w:rPr>
          <w:rFonts w:hint="eastAsia" w:hAnsi="宋体"/>
          <w:color w:val="auto"/>
          <w:highlight w:val="none"/>
        </w:rPr>
        <w:t xml:space="preserve">本工程自验收合格之日起质保期为 </w:t>
      </w:r>
      <w:r>
        <w:rPr>
          <w:rFonts w:hint="eastAsia" w:hAnsi="宋体"/>
          <w:color w:val="auto"/>
          <w:highlight w:val="none"/>
          <w:u w:val="single"/>
        </w:rPr>
        <w:t xml:space="preserve">壹 </w:t>
      </w:r>
      <w:r>
        <w:rPr>
          <w:rFonts w:hint="eastAsia" w:hAnsi="宋体"/>
          <w:color w:val="auto"/>
          <w:highlight w:val="none"/>
        </w:rPr>
        <w:t>年（如有履约保证金，工程竣工验收合格后30个日历日内扣除违约部分后无息返还）；</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8.4 在保修期内，工程质量发生问题，承包人应在收到发包人通知后3个日历日内进行维修，逾期不维修，发包人可另选其他施工单位维修，维修费用乘以1.2倍从质保金中直接扣除，不足部分，承包人继续承担。</w:t>
      </w:r>
    </w:p>
    <w:p>
      <w:pPr>
        <w:pStyle w:val="24"/>
        <w:adjustRightInd w:val="0"/>
        <w:snapToGrid w:val="0"/>
        <w:ind w:firstLine="482"/>
        <w:jc w:val="left"/>
        <w:outlineLvl w:val="1"/>
        <w:rPr>
          <w:rFonts w:ascii="黑体" w:hAnsi="黑体" w:eastAsia="黑体"/>
          <w:b/>
          <w:color w:val="auto"/>
          <w:highlight w:val="none"/>
        </w:rPr>
      </w:pPr>
      <w:bookmarkStart w:id="145" w:name="_Toc307471131"/>
      <w:bookmarkStart w:id="146" w:name="_Toc448"/>
      <w:bookmarkStart w:id="147" w:name="_Toc6814"/>
      <w:r>
        <w:rPr>
          <w:rFonts w:hint="eastAsia" w:ascii="黑体" w:hAnsi="黑体" w:eastAsia="黑体"/>
          <w:b/>
          <w:color w:val="auto"/>
          <w:highlight w:val="none"/>
        </w:rPr>
        <w:t>九、工程款支付方式</w:t>
      </w:r>
      <w:bookmarkEnd w:id="145"/>
      <w:bookmarkEnd w:id="146"/>
      <w:bookmarkEnd w:id="147"/>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9.1本项目预付款支付：合同签订后7日内，支付合同价30%。</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9.2 承包人完成合格工程量的70%时，经发包人签字确认后，发包人支付至合同金额的60%。</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9.3工程完工验收合格经发包人签字确认后，发包人支付至合同金额的85%，承包人于3个日历日内向发包人申报工程结算书。</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9.4 工程结算定案后，发包人支付至工程价款的9</w:t>
      </w:r>
      <w:r>
        <w:rPr>
          <w:rFonts w:hAnsi="宋体"/>
          <w:color w:val="auto"/>
          <w:highlight w:val="none"/>
        </w:rPr>
        <w:t>7</w:t>
      </w:r>
      <w:r>
        <w:rPr>
          <w:rFonts w:hint="eastAsia" w:hAnsi="宋体"/>
          <w:color w:val="auto"/>
          <w:highlight w:val="none"/>
        </w:rPr>
        <w:t>%，如有施工水电费、相应整改费、违约金等相关费用则相应扣除。</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9.5剩余</w:t>
      </w:r>
      <w:r>
        <w:rPr>
          <w:rFonts w:hAnsi="宋体"/>
          <w:color w:val="auto"/>
          <w:highlight w:val="none"/>
        </w:rPr>
        <w:t>3</w:t>
      </w:r>
      <w:r>
        <w:rPr>
          <w:rFonts w:hint="eastAsia" w:hAnsi="宋体"/>
          <w:color w:val="auto"/>
          <w:highlight w:val="none"/>
        </w:rPr>
        <w:t>%合同</w:t>
      </w:r>
      <w:r>
        <w:rPr>
          <w:rFonts w:hAnsi="宋体"/>
          <w:color w:val="auto"/>
          <w:highlight w:val="none"/>
        </w:rPr>
        <w:t>款</w:t>
      </w:r>
      <w:r>
        <w:rPr>
          <w:rFonts w:hint="eastAsia" w:hAnsi="宋体"/>
          <w:color w:val="auto"/>
          <w:highlight w:val="none"/>
        </w:rPr>
        <w:t>做为质量保证金，在质保期满后7个日历日内扣除质量维修金（如有）一次性无息支付。（参考8.4维修费用扣除方式）</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9</w:t>
      </w:r>
      <w:r>
        <w:rPr>
          <w:rFonts w:hAnsi="宋体"/>
          <w:color w:val="auto"/>
          <w:highlight w:val="none"/>
        </w:rPr>
        <w:t>.</w:t>
      </w:r>
      <w:r>
        <w:rPr>
          <w:rFonts w:hint="eastAsia" w:hAnsi="宋体"/>
          <w:color w:val="auto"/>
          <w:highlight w:val="none"/>
        </w:rPr>
        <w:t>6</w:t>
      </w:r>
      <w:r>
        <w:rPr>
          <w:rFonts w:hAnsi="宋体"/>
          <w:color w:val="auto"/>
          <w:highlight w:val="none"/>
        </w:rPr>
        <w:t xml:space="preserve"> </w:t>
      </w:r>
      <w:r>
        <w:rPr>
          <w:rFonts w:hint="eastAsia" w:hAnsi="宋体"/>
          <w:color w:val="auto"/>
          <w:highlight w:val="none"/>
        </w:rPr>
        <w:t>发包人在支付工程款时，承包人应向发包人开具相应金额增值税专用发票或增值税普通发票，发票到后付款，否则发包人有权拒绝支付。</w:t>
      </w:r>
    </w:p>
    <w:p>
      <w:pPr>
        <w:pStyle w:val="2"/>
        <w:rPr>
          <w:color w:val="auto"/>
          <w:highlight w:val="none"/>
        </w:rPr>
      </w:pPr>
    </w:p>
    <w:p>
      <w:pPr>
        <w:pStyle w:val="24"/>
        <w:adjustRightInd w:val="0"/>
        <w:snapToGrid w:val="0"/>
        <w:ind w:firstLine="482"/>
        <w:jc w:val="left"/>
        <w:outlineLvl w:val="1"/>
        <w:rPr>
          <w:rFonts w:ascii="黑体" w:hAnsi="黑体" w:eastAsia="黑体"/>
          <w:b/>
          <w:color w:val="auto"/>
          <w:highlight w:val="none"/>
        </w:rPr>
      </w:pPr>
      <w:bookmarkStart w:id="148" w:name="_Toc25647"/>
      <w:bookmarkStart w:id="149" w:name="_Toc12697"/>
      <w:r>
        <w:rPr>
          <w:rFonts w:hint="eastAsia" w:ascii="黑体" w:hAnsi="黑体" w:eastAsia="黑体"/>
          <w:b/>
          <w:color w:val="auto"/>
          <w:highlight w:val="none"/>
        </w:rPr>
        <w:t>十、发票开具要求及责任</w:t>
      </w:r>
      <w:bookmarkEnd w:id="148"/>
      <w:bookmarkEnd w:id="149"/>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10.1工程完工经发包人验收合格后【7】个日历日内，承包人应按发包人要求出具合法有效的增值税专用发票或增值税普通发票。承包人应在开票之后【7】个日历日内将发票送达发包人，发包人签收发票的日期为发票的送达日期。</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10.2承包人开具的发票不合格的，发包人有权迟延支付应付款项，且不承担任何违约责任，承包人的各项合同义务仍按合同约定履行。不合格发票包括但不限于以下情形：开具虚假、作废等无效发票或者违反国家法律法规开具、提供发票的；开具发票种类错误；开具发票税率与合同约定不符；发票上的信息错误；因承包人迟延送达、开具错误等原因造成发票认证失败等。</w:t>
      </w:r>
    </w:p>
    <w:p>
      <w:pPr>
        <w:pStyle w:val="24"/>
        <w:adjustRightInd w:val="0"/>
        <w:snapToGrid w:val="0"/>
        <w:ind w:firstLine="482"/>
        <w:jc w:val="left"/>
        <w:outlineLvl w:val="1"/>
        <w:rPr>
          <w:rFonts w:ascii="黑体" w:hAnsi="黑体" w:eastAsia="黑体"/>
          <w:b/>
          <w:color w:val="auto"/>
          <w:highlight w:val="none"/>
        </w:rPr>
      </w:pPr>
      <w:bookmarkStart w:id="150" w:name="_Toc307471132"/>
      <w:bookmarkStart w:id="151" w:name="_Toc11421"/>
      <w:bookmarkStart w:id="152" w:name="_Toc19833"/>
      <w:r>
        <w:rPr>
          <w:rFonts w:hint="eastAsia" w:ascii="黑体" w:hAnsi="黑体" w:eastAsia="黑体"/>
          <w:b/>
          <w:color w:val="auto"/>
          <w:highlight w:val="none"/>
        </w:rPr>
        <w:t>十一、违约责任</w:t>
      </w:r>
      <w:bookmarkEnd w:id="150"/>
      <w:bookmarkEnd w:id="151"/>
      <w:bookmarkEnd w:id="152"/>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11</w:t>
      </w:r>
      <w:r>
        <w:rPr>
          <w:rFonts w:hAnsi="宋体"/>
          <w:color w:val="auto"/>
          <w:highlight w:val="none"/>
        </w:rPr>
        <w:t xml:space="preserve">.1 </w:t>
      </w:r>
      <w:r>
        <w:rPr>
          <w:rFonts w:hint="eastAsia" w:hAnsi="宋体"/>
          <w:color w:val="auto"/>
          <w:highlight w:val="none"/>
        </w:rPr>
        <w:t>除非因不可抗力，因承包人未履行或不完全履行、不适当履行本合同约定的义务，给发包人造成损失的均由承包人承担违约责任。</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11</w:t>
      </w:r>
      <w:r>
        <w:rPr>
          <w:rFonts w:hAnsi="宋体"/>
          <w:color w:val="auto"/>
          <w:highlight w:val="none"/>
        </w:rPr>
        <w:t>.</w:t>
      </w:r>
      <w:r>
        <w:rPr>
          <w:rFonts w:hint="eastAsia" w:hAnsi="宋体"/>
          <w:color w:val="auto"/>
          <w:highlight w:val="none"/>
        </w:rPr>
        <w:t>2</w:t>
      </w:r>
      <w:r>
        <w:rPr>
          <w:rFonts w:hAnsi="宋体"/>
          <w:color w:val="auto"/>
          <w:highlight w:val="none"/>
        </w:rPr>
        <w:t xml:space="preserve"> </w:t>
      </w:r>
      <w:r>
        <w:rPr>
          <w:rFonts w:hint="eastAsia" w:hAnsi="宋体"/>
          <w:color w:val="auto"/>
          <w:highlight w:val="none"/>
        </w:rPr>
        <w:t>本工程质量未能一次性通过验收合格或双方约定的质量标准的，视为承包人质量违约，承包人必须采取补救整改措施直至达到验收合格或约定质量标准，因此造成工期延误的，每延误一天，按照</w:t>
      </w:r>
      <w:r>
        <w:rPr>
          <w:rFonts w:hAnsi="宋体"/>
          <w:color w:val="auto"/>
          <w:highlight w:val="none"/>
        </w:rPr>
        <w:t>1000</w:t>
      </w:r>
      <w:r>
        <w:rPr>
          <w:rFonts w:hint="eastAsia" w:hAnsi="宋体"/>
          <w:color w:val="auto"/>
          <w:highlight w:val="none"/>
        </w:rPr>
        <w:t>元/天计算承包人违约金。因整改后仍验收不合格的，工程不予以结算，拒付工程款。</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11.3 为了不影响工程进度或工程交付使用，经书面通知承包人后，发包人有权指派其他施工单位对超过合同规定工期或临界合同竣工日期但初验不符合质量标准的部分工程项目进行整改补救，所发生费用由承包人承担，在结算工程款中予以扣除。</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11.4 本合同签订后工程不得转包、分包，否则发包人有权解除合同，承包人承担违约责任。</w:t>
      </w:r>
    </w:p>
    <w:p>
      <w:pPr>
        <w:pStyle w:val="24"/>
        <w:adjustRightInd w:val="0"/>
        <w:snapToGrid w:val="0"/>
        <w:ind w:firstLine="482"/>
        <w:jc w:val="left"/>
        <w:outlineLvl w:val="1"/>
        <w:rPr>
          <w:rFonts w:ascii="黑体" w:hAnsi="黑体" w:eastAsia="黑体"/>
          <w:b/>
          <w:color w:val="auto"/>
          <w:highlight w:val="none"/>
        </w:rPr>
      </w:pPr>
      <w:bookmarkStart w:id="153" w:name="_Toc351203486"/>
      <w:bookmarkStart w:id="154" w:name="_Toc21655"/>
      <w:bookmarkStart w:id="155" w:name="_Toc25425"/>
      <w:r>
        <w:rPr>
          <w:rFonts w:hint="eastAsia" w:ascii="黑体" w:hAnsi="黑体" w:eastAsia="黑体"/>
          <w:b/>
          <w:color w:val="auto"/>
          <w:highlight w:val="none"/>
        </w:rPr>
        <w:t>十二、合同文件构成</w:t>
      </w:r>
      <w:bookmarkEnd w:id="153"/>
      <w:bookmarkEnd w:id="154"/>
      <w:bookmarkEnd w:id="155"/>
    </w:p>
    <w:p>
      <w:pPr>
        <w:spacing w:line="360" w:lineRule="auto"/>
        <w:ind w:firstLine="480" w:firstLineChars="200"/>
        <w:rPr>
          <w:rFonts w:hAnsi="宋体"/>
          <w:bCs/>
          <w:color w:val="auto"/>
          <w:highlight w:val="none"/>
        </w:rPr>
      </w:pPr>
      <w:r>
        <w:rPr>
          <w:rFonts w:hint="eastAsia" w:hAnsi="宋体"/>
          <w:bCs/>
          <w:color w:val="auto"/>
          <w:highlight w:val="none"/>
        </w:rPr>
        <w:t>本协议书与下列文件一起构成合同文件：</w:t>
      </w:r>
    </w:p>
    <w:p>
      <w:pPr>
        <w:spacing w:line="360" w:lineRule="auto"/>
        <w:ind w:firstLine="480" w:firstLineChars="200"/>
        <w:rPr>
          <w:rFonts w:hAnsi="宋体"/>
          <w:color w:val="auto"/>
          <w:highlight w:val="none"/>
        </w:rPr>
      </w:pPr>
      <w:bookmarkStart w:id="156" w:name="_Hlk488146900"/>
      <w:r>
        <w:rPr>
          <w:rFonts w:hint="eastAsia" w:hAnsi="宋体"/>
          <w:color w:val="auto"/>
          <w:highlight w:val="none"/>
        </w:rPr>
        <w:t>（1）成交通知书；</w:t>
      </w:r>
    </w:p>
    <w:p>
      <w:pPr>
        <w:spacing w:line="360" w:lineRule="auto"/>
        <w:ind w:firstLine="480" w:firstLineChars="200"/>
        <w:rPr>
          <w:rFonts w:hAnsi="宋体"/>
          <w:color w:val="auto"/>
          <w:highlight w:val="none"/>
        </w:rPr>
      </w:pPr>
      <w:r>
        <w:rPr>
          <w:rFonts w:hint="eastAsia" w:hAnsi="宋体"/>
          <w:color w:val="auto"/>
          <w:highlight w:val="none"/>
        </w:rPr>
        <w:t xml:space="preserve">（2）询比响应函； </w:t>
      </w:r>
    </w:p>
    <w:p>
      <w:pPr>
        <w:spacing w:line="360" w:lineRule="auto"/>
        <w:ind w:firstLine="48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）项目需求；</w:t>
      </w:r>
    </w:p>
    <w:p>
      <w:pPr>
        <w:spacing w:line="360" w:lineRule="auto"/>
        <w:ind w:firstLine="48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）工程量清单报价表；</w:t>
      </w:r>
    </w:p>
    <w:p>
      <w:pPr>
        <w:spacing w:line="360" w:lineRule="auto"/>
        <w:ind w:firstLine="480" w:firstLineChars="200"/>
        <w:rPr>
          <w:rFonts w:hAnsi="宋体"/>
          <w:color w:val="auto"/>
          <w:highlight w:val="none"/>
        </w:rPr>
      </w:pPr>
      <w:r>
        <w:rPr>
          <w:rFonts w:hint="eastAsia" w:hAnsi="宋体"/>
          <w:color w:val="auto"/>
          <w:highlight w:val="none"/>
        </w:rPr>
        <w:t>（5）响应</w:t>
      </w:r>
      <w:r>
        <w:rPr>
          <w:rFonts w:hAnsi="宋体"/>
          <w:color w:val="auto"/>
          <w:highlight w:val="none"/>
        </w:rPr>
        <w:t>文件中的技术方案、施工方案、</w:t>
      </w:r>
      <w:r>
        <w:rPr>
          <w:rFonts w:hint="eastAsia" w:hAnsi="宋体"/>
          <w:color w:val="auto"/>
          <w:highlight w:val="none"/>
        </w:rPr>
        <w:t>售后服务与维保方案及</w:t>
      </w:r>
      <w:r>
        <w:rPr>
          <w:rFonts w:hAnsi="宋体"/>
          <w:color w:val="auto"/>
          <w:highlight w:val="none"/>
        </w:rPr>
        <w:t>项目管理机构等要约承诺内容；</w:t>
      </w:r>
    </w:p>
    <w:p>
      <w:pPr>
        <w:autoSpaceDE w:val="0"/>
        <w:autoSpaceDN w:val="0"/>
        <w:adjustRightInd w:val="0"/>
        <w:spacing w:line="360" w:lineRule="auto"/>
        <w:ind w:firstLine="48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w:t>
      </w:r>
      <w:bookmarkEnd w:id="156"/>
      <w:r>
        <w:rPr>
          <w:rFonts w:hint="eastAsia" w:hAnsi="宋体"/>
          <w:color w:val="auto"/>
          <w:highlight w:val="none"/>
        </w:rPr>
        <w:t>经双方确认的其他文件。</w:t>
      </w:r>
    </w:p>
    <w:p>
      <w:pPr>
        <w:autoSpaceDE w:val="0"/>
        <w:autoSpaceDN w:val="0"/>
        <w:adjustRightInd w:val="0"/>
        <w:spacing w:line="360" w:lineRule="auto"/>
        <w:ind w:firstLine="480" w:firstLineChars="200"/>
        <w:jc w:val="left"/>
        <w:rPr>
          <w:rFonts w:hAnsi="宋体"/>
          <w:color w:val="auto"/>
          <w:highlight w:val="none"/>
        </w:rPr>
      </w:pPr>
      <w:r>
        <w:rPr>
          <w:rFonts w:hint="eastAsia" w:hAnsi="宋体"/>
          <w:color w:val="auto"/>
          <w:highlight w:val="none"/>
        </w:rPr>
        <w:t>以上列出了组成本合同的全部文件，如果合同文件之间存在差异或矛盾，则这些文件的优先权按上面所列顺序为准；如果合同执行过程中双方达成了具有合同效力的其它协议，则协议所涉及内容以达到时间在后者优先。</w:t>
      </w:r>
    </w:p>
    <w:p>
      <w:pPr>
        <w:pStyle w:val="24"/>
        <w:adjustRightInd w:val="0"/>
        <w:snapToGrid w:val="0"/>
        <w:ind w:firstLine="482"/>
        <w:jc w:val="left"/>
        <w:outlineLvl w:val="1"/>
        <w:rPr>
          <w:rFonts w:ascii="黑体" w:hAnsi="黑体" w:eastAsia="黑体"/>
          <w:b/>
          <w:color w:val="auto"/>
          <w:highlight w:val="none"/>
        </w:rPr>
      </w:pPr>
      <w:bookmarkStart w:id="157" w:name="_Toc10124"/>
      <w:bookmarkStart w:id="158" w:name="_Toc398"/>
      <w:r>
        <w:rPr>
          <w:rFonts w:hint="eastAsia" w:ascii="黑体" w:hAnsi="黑体" w:eastAsia="黑体"/>
          <w:b/>
          <w:color w:val="auto"/>
          <w:highlight w:val="none"/>
        </w:rPr>
        <w:t>十三、履约担保</w:t>
      </w:r>
      <w:bookmarkEnd w:id="157"/>
      <w:bookmarkEnd w:id="158"/>
    </w:p>
    <w:p>
      <w:pPr>
        <w:autoSpaceDE w:val="0"/>
        <w:autoSpaceDN w:val="0"/>
        <w:adjustRightInd w:val="0"/>
        <w:spacing w:line="360" w:lineRule="auto"/>
        <w:ind w:firstLine="480" w:firstLineChars="200"/>
        <w:jc w:val="left"/>
        <w:rPr>
          <w:rFonts w:hAnsi="宋体"/>
          <w:color w:val="auto"/>
          <w:highlight w:val="none"/>
        </w:rPr>
      </w:pPr>
      <w:r>
        <w:rPr>
          <w:rFonts w:hint="eastAsia" w:hAnsi="宋体"/>
          <w:color w:val="auto"/>
          <w:highlight w:val="none"/>
        </w:rPr>
        <w:t>履约担保的形式：无。</w:t>
      </w:r>
    </w:p>
    <w:p>
      <w:pPr>
        <w:autoSpaceDE w:val="0"/>
        <w:autoSpaceDN w:val="0"/>
        <w:adjustRightInd w:val="0"/>
        <w:spacing w:line="360" w:lineRule="auto"/>
        <w:ind w:firstLine="480" w:firstLineChars="200"/>
        <w:jc w:val="left"/>
        <w:rPr>
          <w:rFonts w:hAnsi="宋体"/>
          <w:color w:val="auto"/>
          <w:highlight w:val="none"/>
        </w:rPr>
      </w:pPr>
      <w:r>
        <w:rPr>
          <w:rFonts w:hint="eastAsia" w:hAnsi="宋体"/>
          <w:color w:val="auto"/>
          <w:highlight w:val="none"/>
        </w:rPr>
        <w:t>1、提交时限：成交通知书发出之日起10个工作日内且合同签订前办理完成，提交至采购人指定账户，否则采购人有权取消其成交资格。</w:t>
      </w:r>
    </w:p>
    <w:p>
      <w:pPr>
        <w:autoSpaceDE w:val="0"/>
        <w:autoSpaceDN w:val="0"/>
        <w:adjustRightInd w:val="0"/>
        <w:spacing w:line="360" w:lineRule="auto"/>
        <w:ind w:firstLine="480" w:firstLineChars="200"/>
        <w:jc w:val="left"/>
        <w:rPr>
          <w:rFonts w:hAnsi="宋体"/>
          <w:color w:val="auto"/>
          <w:highlight w:val="none"/>
        </w:rPr>
      </w:pPr>
      <w:r>
        <w:rPr>
          <w:rFonts w:hint="eastAsia" w:hAnsi="宋体"/>
          <w:color w:val="auto"/>
          <w:highlight w:val="none"/>
        </w:rPr>
        <w:t>2、履约保证金在完成安装调试并验收合格后退还。</w:t>
      </w:r>
    </w:p>
    <w:p>
      <w:pPr>
        <w:pStyle w:val="24"/>
        <w:adjustRightInd w:val="0"/>
        <w:snapToGrid w:val="0"/>
        <w:ind w:firstLine="482"/>
        <w:jc w:val="left"/>
        <w:outlineLvl w:val="1"/>
        <w:rPr>
          <w:rFonts w:ascii="黑体" w:hAnsi="黑体" w:eastAsia="黑体"/>
          <w:b/>
          <w:color w:val="auto"/>
          <w:highlight w:val="none"/>
        </w:rPr>
      </w:pPr>
      <w:bookmarkStart w:id="159" w:name="_Toc307471133"/>
      <w:bookmarkStart w:id="160" w:name="_Toc8689"/>
      <w:bookmarkStart w:id="161" w:name="_Toc29434"/>
      <w:r>
        <w:rPr>
          <w:rFonts w:hint="eastAsia" w:ascii="黑体" w:hAnsi="黑体" w:eastAsia="黑体"/>
          <w:b/>
          <w:color w:val="auto"/>
          <w:highlight w:val="none"/>
        </w:rPr>
        <w:t>十四、合同争议的解决方式</w:t>
      </w:r>
      <w:bookmarkEnd w:id="159"/>
      <w:bookmarkEnd w:id="160"/>
      <w:bookmarkEnd w:id="161"/>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本合同在履行过程中发生的争议，由当事人双方协商解决；也可由有关部门调解；协商或调解不成的，依法向工程所在地人民法院提起诉讼。</w:t>
      </w:r>
    </w:p>
    <w:p>
      <w:pPr>
        <w:pStyle w:val="24"/>
        <w:adjustRightInd w:val="0"/>
        <w:snapToGrid w:val="0"/>
        <w:ind w:firstLine="482"/>
        <w:jc w:val="left"/>
        <w:outlineLvl w:val="1"/>
        <w:rPr>
          <w:rFonts w:ascii="黑体" w:hAnsi="黑体" w:eastAsia="黑体"/>
          <w:b/>
          <w:color w:val="auto"/>
          <w:highlight w:val="none"/>
        </w:rPr>
      </w:pPr>
      <w:bookmarkStart w:id="162" w:name="_Toc307471134"/>
      <w:bookmarkStart w:id="163" w:name="_Toc7462"/>
      <w:bookmarkStart w:id="164" w:name="_Toc14333"/>
      <w:r>
        <w:rPr>
          <w:rFonts w:hint="eastAsia" w:ascii="黑体" w:hAnsi="黑体" w:eastAsia="黑体"/>
          <w:b/>
          <w:color w:val="auto"/>
          <w:highlight w:val="none"/>
        </w:rPr>
        <w:t>十五、 附则</w:t>
      </w:r>
      <w:bookmarkEnd w:id="162"/>
      <w:bookmarkEnd w:id="163"/>
      <w:bookmarkEnd w:id="164"/>
    </w:p>
    <w:p>
      <w:pPr>
        <w:autoSpaceDE w:val="0"/>
        <w:autoSpaceDN w:val="0"/>
        <w:adjustRightInd w:val="0"/>
        <w:snapToGrid w:val="0"/>
        <w:spacing w:line="360" w:lineRule="auto"/>
        <w:ind w:firstLine="424" w:firstLineChars="177"/>
        <w:jc w:val="left"/>
        <w:rPr>
          <w:rFonts w:hAnsi="宋体"/>
          <w:color w:val="auto"/>
          <w:highlight w:val="none"/>
        </w:rPr>
      </w:pPr>
      <w:bookmarkStart w:id="165" w:name="_Toc307471135"/>
      <w:bookmarkStart w:id="166" w:name="_Toc307470348"/>
      <w:r>
        <w:rPr>
          <w:rFonts w:hAnsi="宋体"/>
          <w:color w:val="auto"/>
          <w:highlight w:val="none"/>
        </w:rPr>
        <w:t>13.1</w:t>
      </w:r>
      <w:r>
        <w:rPr>
          <w:rFonts w:hint="eastAsia" w:hAnsi="宋体"/>
          <w:color w:val="auto"/>
          <w:highlight w:val="none"/>
        </w:rPr>
        <w:t>本合同</w:t>
      </w:r>
      <w:r>
        <w:rPr>
          <w:rFonts w:hAnsi="宋体"/>
          <w:color w:val="auto"/>
          <w:highlight w:val="none"/>
        </w:rPr>
        <w:t>于</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rPr>
        <w:t>签订。</w:t>
      </w:r>
      <w:r>
        <w:rPr>
          <w:rFonts w:hint="eastAsia" w:hAnsi="宋体"/>
          <w:bCs/>
          <w:color w:val="auto"/>
          <w:highlight w:val="none"/>
        </w:rPr>
        <w:t>合同未尽事宜，合同当事人另行签订补充协议，补充协议是合同的组成部分。</w:t>
      </w:r>
    </w:p>
    <w:p>
      <w:pPr>
        <w:autoSpaceDE w:val="0"/>
        <w:autoSpaceDN w:val="0"/>
        <w:adjustRightInd w:val="0"/>
        <w:snapToGrid w:val="0"/>
        <w:spacing w:line="360" w:lineRule="auto"/>
        <w:ind w:firstLine="424" w:firstLineChars="177"/>
        <w:jc w:val="left"/>
        <w:rPr>
          <w:rFonts w:hAnsi="宋体"/>
          <w:color w:val="auto"/>
          <w:highlight w:val="none"/>
        </w:rPr>
      </w:pPr>
      <w:r>
        <w:rPr>
          <w:rFonts w:hint="eastAsia" w:hAnsi="宋体"/>
          <w:color w:val="auto"/>
          <w:highlight w:val="none"/>
        </w:rPr>
        <w:t>1</w:t>
      </w:r>
      <w:r>
        <w:rPr>
          <w:rFonts w:hAnsi="宋体"/>
          <w:color w:val="auto"/>
          <w:highlight w:val="none"/>
        </w:rPr>
        <w:t>3</w:t>
      </w:r>
      <w:r>
        <w:rPr>
          <w:rFonts w:hint="eastAsia" w:hAnsi="宋体"/>
          <w:color w:val="auto"/>
          <w:highlight w:val="none"/>
        </w:rPr>
        <w:t>.</w:t>
      </w:r>
      <w:r>
        <w:rPr>
          <w:rFonts w:hAnsi="宋体"/>
          <w:color w:val="auto"/>
          <w:highlight w:val="none"/>
        </w:rPr>
        <w:t>2</w:t>
      </w:r>
      <w:r>
        <w:rPr>
          <w:rFonts w:hint="eastAsia" w:hAnsi="宋体"/>
          <w:color w:val="auto"/>
          <w:highlight w:val="none"/>
        </w:rPr>
        <w:t>本合同经双方签字盖章后生效。</w:t>
      </w:r>
    </w:p>
    <w:p>
      <w:pPr>
        <w:autoSpaceDE w:val="0"/>
        <w:autoSpaceDN w:val="0"/>
        <w:adjustRightInd w:val="0"/>
        <w:snapToGrid w:val="0"/>
        <w:spacing w:line="360" w:lineRule="auto"/>
        <w:ind w:firstLine="424" w:firstLineChars="177"/>
        <w:jc w:val="left"/>
        <w:rPr>
          <w:rFonts w:hAnsi="宋体"/>
          <w:color w:val="auto"/>
          <w:highlight w:val="none"/>
        </w:rPr>
      </w:pPr>
      <w:r>
        <w:rPr>
          <w:rFonts w:hAnsi="宋体"/>
          <w:color w:val="auto"/>
          <w:highlight w:val="none"/>
        </w:rPr>
        <w:t>13.2</w:t>
      </w:r>
      <w:r>
        <w:rPr>
          <w:rFonts w:hint="eastAsia" w:hAnsi="宋体"/>
          <w:color w:val="auto"/>
          <w:highlight w:val="none"/>
        </w:rPr>
        <w:t xml:space="preserve"> 本合同一式捌份，均具有同等法律效力。发包人执陆份，承包人执贰份。</w:t>
      </w:r>
    </w:p>
    <w:p>
      <w:pPr>
        <w:pStyle w:val="24"/>
        <w:adjustRightInd w:val="0"/>
        <w:snapToGrid w:val="0"/>
        <w:ind w:firstLine="482"/>
        <w:jc w:val="left"/>
        <w:outlineLvl w:val="1"/>
        <w:rPr>
          <w:rFonts w:ascii="黑体" w:hAnsi="黑体" w:eastAsia="黑体"/>
          <w:b/>
          <w:color w:val="auto"/>
          <w:highlight w:val="none"/>
        </w:rPr>
      </w:pPr>
      <w:bookmarkStart w:id="167" w:name="_Toc24518"/>
      <w:bookmarkStart w:id="168" w:name="_Toc25620"/>
      <w:r>
        <w:rPr>
          <w:rFonts w:hint="eastAsia" w:ascii="黑体" w:hAnsi="黑体" w:eastAsia="黑体"/>
          <w:b/>
          <w:color w:val="auto"/>
          <w:highlight w:val="none"/>
        </w:rPr>
        <w:t>十六、 附件（附件为本合同组成部分）</w:t>
      </w:r>
      <w:bookmarkEnd w:id="165"/>
      <w:bookmarkEnd w:id="166"/>
      <w:bookmarkEnd w:id="167"/>
      <w:bookmarkEnd w:id="168"/>
    </w:p>
    <w:p>
      <w:pPr>
        <w:adjustRightInd w:val="0"/>
        <w:snapToGrid w:val="0"/>
        <w:spacing w:line="360" w:lineRule="auto"/>
        <w:ind w:firstLine="566" w:firstLineChars="236"/>
        <w:rPr>
          <w:rFonts w:hAnsi="宋体"/>
          <w:color w:val="auto"/>
          <w:highlight w:val="none"/>
        </w:rPr>
      </w:pPr>
      <w:r>
        <w:rPr>
          <w:rFonts w:hint="eastAsia" w:hAnsi="宋体"/>
          <w:color w:val="auto"/>
          <w:highlight w:val="none"/>
        </w:rPr>
        <w:t>附件一：廉政责任书</w:t>
      </w:r>
    </w:p>
    <w:p>
      <w:pPr>
        <w:adjustRightInd w:val="0"/>
        <w:snapToGrid w:val="0"/>
        <w:spacing w:line="360" w:lineRule="auto"/>
        <w:ind w:firstLine="566" w:firstLineChars="236"/>
        <w:rPr>
          <w:rFonts w:hAnsi="宋体"/>
          <w:color w:val="auto"/>
          <w:highlight w:val="none"/>
        </w:rPr>
      </w:pPr>
      <w:r>
        <w:rPr>
          <w:rFonts w:hint="eastAsia" w:hAnsi="宋体"/>
          <w:color w:val="auto"/>
          <w:highlight w:val="none"/>
        </w:rPr>
        <w:t>附件二：安全生产协议</w:t>
      </w:r>
    </w:p>
    <w:p>
      <w:pPr>
        <w:adjustRightInd w:val="0"/>
        <w:snapToGrid w:val="0"/>
        <w:spacing w:line="360" w:lineRule="auto"/>
        <w:ind w:firstLine="566" w:firstLineChars="236"/>
        <w:rPr>
          <w:rFonts w:hAnsi="宋体"/>
          <w:color w:val="auto"/>
          <w:highlight w:val="none"/>
        </w:rPr>
      </w:pPr>
      <w:r>
        <w:rPr>
          <w:rFonts w:hint="eastAsia" w:hAnsi="宋体"/>
          <w:color w:val="auto"/>
          <w:highlight w:val="none"/>
        </w:rPr>
        <w:t>附件三：工程量清单报价</w:t>
      </w:r>
    </w:p>
    <w:p>
      <w:pPr>
        <w:adjustRightInd w:val="0"/>
        <w:snapToGrid w:val="0"/>
        <w:spacing w:line="360" w:lineRule="auto"/>
        <w:ind w:firstLine="566" w:firstLineChars="236"/>
        <w:rPr>
          <w:rFonts w:hAnsi="宋体"/>
          <w:color w:val="auto"/>
          <w:highlight w:val="none"/>
        </w:rPr>
      </w:pPr>
      <w:r>
        <w:rPr>
          <w:rFonts w:hint="eastAsia" w:hAnsi="宋体"/>
          <w:color w:val="auto"/>
          <w:highlight w:val="none"/>
        </w:rPr>
        <w:t>附件</w:t>
      </w:r>
      <w:r>
        <w:rPr>
          <w:rFonts w:hAnsi="宋体"/>
          <w:color w:val="auto"/>
          <w:highlight w:val="none"/>
        </w:rPr>
        <w:t>四：安全文明施工协议</w:t>
      </w:r>
    </w:p>
    <w:p>
      <w:pPr>
        <w:adjustRightInd w:val="0"/>
        <w:snapToGrid w:val="0"/>
        <w:spacing w:line="360" w:lineRule="auto"/>
        <w:ind w:firstLine="566" w:firstLineChars="236"/>
        <w:rPr>
          <w:rFonts w:hAnsi="宋体"/>
          <w:color w:val="auto"/>
          <w:highlight w:val="none"/>
        </w:rPr>
      </w:pPr>
      <w:r>
        <w:rPr>
          <w:rFonts w:hAnsi="宋体"/>
          <w:color w:val="auto"/>
          <w:highlight w:val="none"/>
        </w:rPr>
        <w:br w:type="page"/>
      </w:r>
    </w:p>
    <w:p>
      <w:pPr>
        <w:adjustRightInd w:val="0"/>
        <w:snapToGrid w:val="0"/>
        <w:spacing w:line="360" w:lineRule="auto"/>
        <w:rPr>
          <w:rFonts w:hAnsi="宋体"/>
          <w:color w:val="auto"/>
          <w:highlight w:val="none"/>
        </w:rPr>
      </w:pPr>
    </w:p>
    <w:tbl>
      <w:tblPr>
        <w:tblStyle w:val="58"/>
        <w:tblW w:w="0" w:type="auto"/>
        <w:jc w:val="center"/>
        <w:tblLayout w:type="fixed"/>
        <w:tblCellMar>
          <w:top w:w="0" w:type="dxa"/>
          <w:left w:w="108" w:type="dxa"/>
          <w:bottom w:w="0" w:type="dxa"/>
          <w:right w:w="108" w:type="dxa"/>
        </w:tblCellMar>
      </w:tblPr>
      <w:tblGrid>
        <w:gridCol w:w="4749"/>
        <w:gridCol w:w="4749"/>
      </w:tblGrid>
      <w:tr>
        <w:tblPrEx>
          <w:tblCellMar>
            <w:top w:w="0" w:type="dxa"/>
            <w:left w:w="108" w:type="dxa"/>
            <w:bottom w:w="0" w:type="dxa"/>
            <w:right w:w="108" w:type="dxa"/>
          </w:tblCellMar>
        </w:tblPrEx>
        <w:trPr>
          <w:trHeight w:val="661" w:hRule="atLeast"/>
          <w:jc w:val="center"/>
        </w:trPr>
        <w:tc>
          <w:tcPr>
            <w:tcW w:w="4749" w:type="dxa"/>
          </w:tcPr>
          <w:p>
            <w:pPr>
              <w:adjustRightInd w:val="0"/>
              <w:snapToGrid w:val="0"/>
              <w:ind w:left="480" w:leftChars="200"/>
              <w:rPr>
                <w:rFonts w:hAnsi="宋体"/>
                <w:color w:val="auto"/>
                <w:highlight w:val="none"/>
              </w:rPr>
            </w:pPr>
            <w:r>
              <w:rPr>
                <w:rFonts w:hint="eastAsia" w:hAnsi="宋体"/>
                <w:b/>
                <w:color w:val="auto"/>
                <w:highlight w:val="none"/>
              </w:rPr>
              <w:t>发包人（公章）：</w:t>
            </w:r>
            <w:r>
              <w:rPr>
                <w:rFonts w:hAnsi="宋体"/>
                <w:color w:val="auto"/>
                <w:highlight w:val="none"/>
              </w:rPr>
              <w:t xml:space="preserve"> </w:t>
            </w:r>
          </w:p>
        </w:tc>
        <w:tc>
          <w:tcPr>
            <w:tcW w:w="4749" w:type="dxa"/>
          </w:tcPr>
          <w:p>
            <w:pPr>
              <w:adjustRightInd w:val="0"/>
              <w:snapToGrid w:val="0"/>
              <w:ind w:left="480" w:leftChars="200"/>
              <w:rPr>
                <w:rFonts w:hAnsi="宋体"/>
                <w:color w:val="auto"/>
                <w:highlight w:val="none"/>
              </w:rPr>
            </w:pPr>
            <w:r>
              <w:rPr>
                <w:rFonts w:hint="eastAsia" w:hAnsi="宋体"/>
                <w:b/>
                <w:color w:val="auto"/>
                <w:highlight w:val="none"/>
              </w:rPr>
              <w:t>承包人（公章）：</w:t>
            </w:r>
          </w:p>
        </w:tc>
      </w:tr>
      <w:tr>
        <w:tblPrEx>
          <w:tblCellMar>
            <w:top w:w="0" w:type="dxa"/>
            <w:left w:w="108" w:type="dxa"/>
            <w:bottom w:w="0" w:type="dxa"/>
            <w:right w:w="108" w:type="dxa"/>
          </w:tblCellMar>
        </w:tblPrEx>
        <w:trPr>
          <w:trHeight w:val="103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法定代表人或</w:t>
            </w:r>
          </w:p>
          <w:p>
            <w:pPr>
              <w:adjustRightInd w:val="0"/>
              <w:snapToGrid w:val="0"/>
              <w:ind w:left="480" w:leftChars="200"/>
              <w:rPr>
                <w:rFonts w:hAnsi="宋体"/>
                <w:color w:val="auto"/>
                <w:highlight w:val="none"/>
              </w:rPr>
            </w:pPr>
            <w:r>
              <w:rPr>
                <w:rFonts w:hint="eastAsia" w:hAnsi="宋体"/>
                <w:color w:val="auto"/>
                <w:highlight w:val="none"/>
              </w:rPr>
              <w:t>授权代理人（签字）：</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法定代表人或</w:t>
            </w:r>
          </w:p>
          <w:p>
            <w:pPr>
              <w:adjustRightInd w:val="0"/>
              <w:snapToGrid w:val="0"/>
              <w:ind w:left="480" w:leftChars="200"/>
              <w:rPr>
                <w:rFonts w:hAnsi="宋体"/>
                <w:color w:val="auto"/>
                <w:highlight w:val="none"/>
              </w:rPr>
            </w:pPr>
            <w:r>
              <w:rPr>
                <w:rFonts w:hint="eastAsia" w:hAnsi="宋体"/>
                <w:color w:val="auto"/>
                <w:highlight w:val="none"/>
              </w:rPr>
              <w:t>授权代理人（签字）：</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地</w:t>
            </w:r>
            <w:r>
              <w:rPr>
                <w:rFonts w:hAnsi="宋体"/>
                <w:color w:val="auto"/>
                <w:highlight w:val="none"/>
              </w:rPr>
              <w:t xml:space="preserve">    址： </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地</w:t>
            </w:r>
            <w:r>
              <w:rPr>
                <w:rFonts w:hAnsi="宋体"/>
                <w:color w:val="auto"/>
                <w:highlight w:val="none"/>
              </w:rPr>
              <w:t xml:space="preserve">    址：</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公司电话：</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公司电话：</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传    真：</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传    真：</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纳税人识别号：</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纳税人识别号：</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开户银行：</w:t>
            </w:r>
            <w:r>
              <w:rPr>
                <w:rFonts w:hAnsi="宋体"/>
                <w:color w:val="auto"/>
                <w:highlight w:val="none"/>
              </w:rPr>
              <w:t xml:space="preserve"> </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 xml:space="preserve">开户银行： </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开户单位：</w:t>
            </w:r>
            <w:r>
              <w:rPr>
                <w:rFonts w:hAnsi="宋体"/>
                <w:color w:val="auto"/>
                <w:highlight w:val="none"/>
              </w:rPr>
              <w:t xml:space="preserve"> </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 xml:space="preserve">开户全称： </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银行账号</w:t>
            </w:r>
            <w:r>
              <w:rPr>
                <w:rFonts w:hAnsi="宋体"/>
                <w:color w:val="auto"/>
                <w:highlight w:val="none"/>
              </w:rPr>
              <w:t>：</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银行账号：</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签订地点：合肥</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签订地点：合肥</w:t>
            </w:r>
          </w:p>
        </w:tc>
      </w:tr>
      <w:tr>
        <w:tblPrEx>
          <w:tblCellMar>
            <w:top w:w="0" w:type="dxa"/>
            <w:left w:w="108" w:type="dxa"/>
            <w:bottom w:w="0" w:type="dxa"/>
            <w:right w:w="108" w:type="dxa"/>
          </w:tblCellMar>
        </w:tblPrEx>
        <w:trPr>
          <w:trHeight w:val="521" w:hRule="atLeast"/>
          <w:jc w:val="center"/>
        </w:trPr>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签订日期：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tc>
        <w:tc>
          <w:tcPr>
            <w:tcW w:w="4749" w:type="dxa"/>
            <w:vAlign w:val="center"/>
          </w:tcPr>
          <w:p>
            <w:pPr>
              <w:adjustRightInd w:val="0"/>
              <w:snapToGrid w:val="0"/>
              <w:ind w:left="480" w:leftChars="200"/>
              <w:rPr>
                <w:rFonts w:hAnsi="宋体"/>
                <w:color w:val="auto"/>
                <w:highlight w:val="none"/>
              </w:rPr>
            </w:pPr>
            <w:r>
              <w:rPr>
                <w:rFonts w:hint="eastAsia" w:hAnsi="宋体"/>
                <w:color w:val="auto"/>
                <w:highlight w:val="none"/>
              </w:rPr>
              <w:t>签订日期：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tc>
      </w:tr>
    </w:tbl>
    <w:p>
      <w:pPr>
        <w:autoSpaceDE w:val="0"/>
        <w:autoSpaceDN w:val="0"/>
        <w:adjustRightInd w:val="0"/>
        <w:snapToGrid w:val="0"/>
        <w:spacing w:line="360" w:lineRule="auto"/>
        <w:jc w:val="left"/>
        <w:rPr>
          <w:rFonts w:hAnsi="宋体"/>
          <w:color w:val="auto"/>
          <w:highlight w:val="none"/>
        </w:rPr>
      </w:pPr>
    </w:p>
    <w:p>
      <w:pPr>
        <w:adjustRightInd w:val="0"/>
        <w:snapToGrid w:val="0"/>
        <w:spacing w:line="360" w:lineRule="auto"/>
        <w:rPr>
          <w:rFonts w:hAnsi="宋体" w:cs="Arial"/>
          <w:b/>
          <w:color w:val="auto"/>
          <w:highlight w:val="none"/>
        </w:rPr>
      </w:pPr>
      <w:r>
        <w:rPr>
          <w:rFonts w:hAnsi="宋体" w:cs="Arial"/>
          <w:b/>
          <w:color w:val="auto"/>
          <w:highlight w:val="none"/>
        </w:rPr>
        <w:br w:type="page"/>
      </w:r>
      <w:r>
        <w:rPr>
          <w:rFonts w:hint="eastAsia" w:hAnsi="宋体" w:cs="Arial"/>
          <w:b/>
          <w:color w:val="auto"/>
          <w:highlight w:val="none"/>
        </w:rPr>
        <w:t xml:space="preserve">附件一 </w:t>
      </w:r>
      <w:r>
        <w:rPr>
          <w:rFonts w:hAnsi="宋体" w:cs="Arial"/>
          <w:b/>
          <w:color w:val="auto"/>
          <w:highlight w:val="none"/>
        </w:rPr>
        <w:t xml:space="preserve">             </w:t>
      </w:r>
    </w:p>
    <w:p>
      <w:pPr>
        <w:adjustRightInd w:val="0"/>
        <w:snapToGrid w:val="0"/>
        <w:spacing w:line="360" w:lineRule="auto"/>
        <w:jc w:val="center"/>
        <w:rPr>
          <w:rFonts w:ascii="黑体" w:hAnsi="黑体" w:eastAsia="黑体" w:cs="Arial"/>
          <w:b/>
          <w:color w:val="auto"/>
          <w:sz w:val="32"/>
          <w:szCs w:val="32"/>
          <w:highlight w:val="none"/>
        </w:rPr>
      </w:pPr>
      <w:r>
        <w:rPr>
          <w:rFonts w:hint="eastAsia" w:ascii="黑体" w:hAnsi="黑体" w:eastAsia="黑体"/>
          <w:b/>
          <w:color w:val="auto"/>
          <w:sz w:val="32"/>
          <w:szCs w:val="32"/>
          <w:highlight w:val="none"/>
        </w:rPr>
        <w:t>廉政责任书</w:t>
      </w:r>
    </w:p>
    <w:p>
      <w:pPr>
        <w:pStyle w:val="74"/>
        <w:adjustRightInd w:val="0"/>
        <w:snapToGrid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发包人：</w:t>
      </w:r>
      <w:r>
        <w:rPr>
          <w:rFonts w:hint="eastAsia" w:ascii="黑体" w:hAnsi="黑体" w:eastAsia="黑体"/>
          <w:color w:val="auto"/>
          <w:szCs w:val="24"/>
          <w:highlight w:val="none"/>
          <w:u w:val="single"/>
        </w:rPr>
        <w:t xml:space="preserve">                                               </w:t>
      </w:r>
    </w:p>
    <w:p>
      <w:pPr>
        <w:pStyle w:val="74"/>
        <w:adjustRightInd w:val="0"/>
        <w:snapToGrid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承包人：</w:t>
      </w:r>
      <w:r>
        <w:rPr>
          <w:rFonts w:hint="eastAsia" w:ascii="黑体" w:hAnsi="黑体" w:eastAsia="黑体"/>
          <w:color w:val="auto"/>
          <w:szCs w:val="24"/>
          <w:highlight w:val="none"/>
          <w:u w:val="single"/>
        </w:rPr>
        <w:t xml:space="preserve">                                               </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为加强建设工程廉政建设，规范</w:t>
      </w:r>
      <w:r>
        <w:rPr>
          <w:rFonts w:hint="eastAsia" w:hAnsi="宋体"/>
          <w:color w:val="auto"/>
          <w:szCs w:val="24"/>
          <w:highlight w:val="none"/>
          <w:u w:val="single"/>
        </w:rPr>
        <w:t xml:space="preserve">      </w:t>
      </w:r>
      <w:r>
        <w:rPr>
          <w:rFonts w:hAnsi="宋体"/>
          <w:color w:val="auto"/>
          <w:szCs w:val="24"/>
          <w:highlight w:val="none"/>
          <w:u w:val="single"/>
        </w:rPr>
        <w:t>{</w:t>
      </w:r>
      <w:r>
        <w:rPr>
          <w:rFonts w:hint="eastAsia" w:hAnsi="宋体"/>
          <w:color w:val="auto"/>
          <w:szCs w:val="24"/>
          <w:highlight w:val="none"/>
          <w:u w:val="single"/>
        </w:rPr>
        <w:t>项目名称</w:t>
      </w:r>
      <w:r>
        <w:rPr>
          <w:rFonts w:hAnsi="宋体"/>
          <w:color w:val="auto"/>
          <w:szCs w:val="24"/>
          <w:highlight w:val="none"/>
          <w:u w:val="single"/>
        </w:rPr>
        <w:t>}</w:t>
      </w:r>
      <w:r>
        <w:rPr>
          <w:rFonts w:hint="eastAsia" w:hAnsi="宋体"/>
          <w:color w:val="auto"/>
          <w:szCs w:val="24"/>
          <w:highlight w:val="none"/>
          <w:u w:val="single"/>
        </w:rPr>
        <w:t xml:space="preserve">       </w:t>
      </w:r>
      <w:r>
        <w:rPr>
          <w:rFonts w:hint="eastAsia" w:hAnsi="宋体"/>
          <w:color w:val="auto"/>
          <w:szCs w:val="24"/>
          <w:highlight w:val="none"/>
        </w:rPr>
        <w:t>项目在建设过程中各项活动时发包人、承包人双方的行为，防止谋取不正当利益的违法违纪现象的发生，保护国家、集体和当事人的合法权益，根据国家有关工程建设的法律法规和廉政建设的有关规定，订立本廉政责任书。</w:t>
      </w:r>
    </w:p>
    <w:p>
      <w:pPr>
        <w:pStyle w:val="74"/>
        <w:adjustRightInd w:val="0"/>
        <w:snapToGrid w:val="0"/>
        <w:spacing w:line="360" w:lineRule="auto"/>
        <w:ind w:firstLine="426" w:firstLineChars="177"/>
        <w:rPr>
          <w:rFonts w:ascii="黑体" w:hAnsi="黑体" w:eastAsia="黑体"/>
          <w:b/>
          <w:color w:val="auto"/>
          <w:szCs w:val="24"/>
          <w:highlight w:val="none"/>
        </w:rPr>
      </w:pPr>
      <w:r>
        <w:rPr>
          <w:rFonts w:hint="eastAsia" w:ascii="黑体" w:hAnsi="黑体" w:eastAsia="黑体"/>
          <w:b/>
          <w:color w:val="auto"/>
          <w:szCs w:val="24"/>
          <w:highlight w:val="none"/>
        </w:rPr>
        <w:t>一、双方的责任</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1.1应严格遵守国家关于建设工程的有关法律、法规，相关政策，以及廉政建设的各项规定。</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1.2严格执行建设工程合同文件，自觉按合同办事。</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1.3各项活动必须坚持公开、公平、公正、诚信、透明的原则(除法律法规另有规定者外)，不得为获取不正当的利益，损害国家、集体和对方利益，不得违反建设工程管理的规章制度。</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1.4发现对方在业务活动中有违规、违纪、违法行为的，应及时提醒对方，情节严重的，应向其上级主管部门或纪检监察、司法等有关机关举报。</w:t>
      </w:r>
    </w:p>
    <w:p>
      <w:pPr>
        <w:pStyle w:val="74"/>
        <w:adjustRightInd w:val="0"/>
        <w:snapToGrid w:val="0"/>
        <w:spacing w:line="360" w:lineRule="auto"/>
        <w:ind w:firstLine="426" w:firstLineChars="177"/>
        <w:rPr>
          <w:rFonts w:ascii="黑体" w:hAnsi="黑体" w:eastAsia="黑体"/>
          <w:b/>
          <w:color w:val="auto"/>
          <w:szCs w:val="24"/>
          <w:highlight w:val="none"/>
        </w:rPr>
      </w:pPr>
      <w:r>
        <w:rPr>
          <w:rFonts w:hint="eastAsia" w:ascii="黑体" w:hAnsi="黑体" w:eastAsia="黑体"/>
          <w:b/>
          <w:color w:val="auto"/>
          <w:szCs w:val="24"/>
          <w:highlight w:val="none"/>
        </w:rPr>
        <w:t>二、发包人责任</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发包人的领导和从事该建设工程项目的工作人员，在工程建设的事前、事中、事后应遵守以下规定：</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2.1不得向承包人和相关单位索要或接受回扣、礼金、有价证券、贵重物品和好处费、感谢费等。</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2.2不得在承包人和相关单位报销任何应由发包人或个人支付的费用。</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2.3不得要求、暗示或接受承包人和相关单位为个人装修住房、婚丧嫁娶、配偶子女的工作安排以及出国(境)、旅游等提供方便。</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2.4不得参加有可能影响公正执行公务的承包人和相关单位的宴请、健身、娱乐等活动。</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2.5不得向承包人和相关单位介绍或为配偶、子女、亲属参与同发包人工程建设管理合同有关的业务活动；不得以任何理由要求承包人和相关单位使用某种产品、材料和设备。</w:t>
      </w:r>
    </w:p>
    <w:p>
      <w:pPr>
        <w:pStyle w:val="74"/>
        <w:adjustRightInd w:val="0"/>
        <w:snapToGrid w:val="0"/>
        <w:spacing w:line="360" w:lineRule="auto"/>
        <w:ind w:firstLine="426" w:firstLineChars="177"/>
        <w:rPr>
          <w:rFonts w:ascii="黑体" w:hAnsi="黑体" w:eastAsia="黑体"/>
          <w:b/>
          <w:color w:val="auto"/>
          <w:szCs w:val="24"/>
          <w:highlight w:val="none"/>
        </w:rPr>
      </w:pPr>
      <w:r>
        <w:rPr>
          <w:rFonts w:hint="eastAsia" w:ascii="黑体" w:hAnsi="黑体" w:eastAsia="黑体"/>
          <w:b/>
          <w:color w:val="auto"/>
          <w:szCs w:val="24"/>
          <w:highlight w:val="none"/>
        </w:rPr>
        <w:t>三、承包人责任</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应与发包人保持正常的业务交往，按照有关法律法规和程序开展业务工作，严格执行工程建设的有关方针、政策，执行工程建设强制性标准，并遵守以下规定：</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3.1不得以任何理由向发包人及其工作人员索要、接受或赠送礼金、有价证券、贵重物品及回扣、好处费、感谢费等。</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3.2不得以任何理由为发包人和相关单位报销应由对方或个人支付的费用。</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3.3不得接受或暗示为发包人、相关单位或个人装修住房、婚丧嫁娶、配偶子女的工作安排以及出国(境)、旅游等提供方便。</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3.4不得以任何理由为发包人、相关单位或个人组织有可能影响公正执行公务的宴请、健身、娱乐等活动。</w:t>
      </w:r>
    </w:p>
    <w:p>
      <w:pPr>
        <w:pStyle w:val="74"/>
        <w:adjustRightInd w:val="0"/>
        <w:snapToGrid w:val="0"/>
        <w:spacing w:line="360" w:lineRule="auto"/>
        <w:ind w:firstLine="426" w:firstLineChars="177"/>
        <w:rPr>
          <w:rFonts w:ascii="黑体" w:hAnsi="黑体" w:eastAsia="黑体"/>
          <w:b/>
          <w:color w:val="auto"/>
          <w:szCs w:val="24"/>
          <w:highlight w:val="none"/>
        </w:rPr>
      </w:pPr>
      <w:r>
        <w:rPr>
          <w:rFonts w:hint="eastAsia" w:ascii="黑体" w:hAnsi="黑体" w:eastAsia="黑体"/>
          <w:b/>
          <w:color w:val="auto"/>
          <w:szCs w:val="24"/>
          <w:highlight w:val="none"/>
        </w:rPr>
        <w:t>四、违约责任</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4.1发包人工作人员有违反本责任书第一、二条责任行为的，依据有关法律、法规给予处理；涉嫌犯罪的，移交司法机关追究刑事责任；给承包人单位造成经济损失的，应予以赔偿。</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4.2承包人工作人员有违反本责任书第一、三条责任行为的，依据有关法律法规处理；涉嫌犯罪的，移交司法机关追究刑事责任；给发包人单位造成经济损失的，应予以赔偿。</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4.3本责任书作为建设工程合同的组成部分，与建设工程合同具有同等法律效力。经双方签署后立即生效。</w:t>
      </w:r>
    </w:p>
    <w:p>
      <w:pPr>
        <w:pStyle w:val="74"/>
        <w:adjustRightInd w:val="0"/>
        <w:snapToGrid w:val="0"/>
        <w:spacing w:line="360" w:lineRule="auto"/>
        <w:ind w:firstLine="426" w:firstLineChars="177"/>
        <w:rPr>
          <w:rFonts w:ascii="黑体" w:hAnsi="黑体" w:eastAsia="黑体"/>
          <w:b/>
          <w:color w:val="auto"/>
          <w:szCs w:val="24"/>
          <w:highlight w:val="none"/>
        </w:rPr>
      </w:pPr>
      <w:r>
        <w:rPr>
          <w:rFonts w:hint="eastAsia" w:ascii="黑体" w:hAnsi="黑体" w:eastAsia="黑体"/>
          <w:b/>
          <w:color w:val="auto"/>
          <w:szCs w:val="24"/>
          <w:highlight w:val="none"/>
        </w:rPr>
        <w:t>五、责任书有效期</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本责任书的有效期为双方签署之日起至该工程项目竣工验收合格时止。</w:t>
      </w:r>
    </w:p>
    <w:p>
      <w:pPr>
        <w:pStyle w:val="74"/>
        <w:adjustRightInd w:val="0"/>
        <w:snapToGrid w:val="0"/>
        <w:spacing w:line="360" w:lineRule="auto"/>
        <w:ind w:firstLine="426" w:firstLineChars="177"/>
        <w:rPr>
          <w:rFonts w:ascii="黑体" w:hAnsi="黑体" w:eastAsia="黑体"/>
          <w:b/>
          <w:color w:val="auto"/>
          <w:szCs w:val="24"/>
          <w:highlight w:val="none"/>
        </w:rPr>
      </w:pPr>
      <w:r>
        <w:rPr>
          <w:rFonts w:hint="eastAsia" w:ascii="黑体" w:hAnsi="黑体" w:eastAsia="黑体"/>
          <w:b/>
          <w:color w:val="auto"/>
          <w:szCs w:val="24"/>
          <w:highlight w:val="none"/>
        </w:rPr>
        <w:t>六、责任书份数</w:t>
      </w:r>
    </w:p>
    <w:p>
      <w:pPr>
        <w:pStyle w:val="74"/>
        <w:adjustRightInd w:val="0"/>
        <w:snapToGrid w:val="0"/>
        <w:spacing w:line="360" w:lineRule="auto"/>
        <w:ind w:firstLine="424" w:firstLineChars="177"/>
        <w:rPr>
          <w:rFonts w:hAnsi="宋体"/>
          <w:color w:val="auto"/>
          <w:szCs w:val="24"/>
          <w:highlight w:val="none"/>
        </w:rPr>
      </w:pPr>
      <w:r>
        <w:rPr>
          <w:rFonts w:hint="eastAsia" w:hAnsi="宋体"/>
          <w:color w:val="auto"/>
          <w:szCs w:val="24"/>
          <w:highlight w:val="none"/>
        </w:rPr>
        <w:t>本责任书一式二份，发包人承包人各执一份，具有同等效力。</w:t>
      </w:r>
    </w:p>
    <w:p>
      <w:pPr>
        <w:pStyle w:val="74"/>
        <w:adjustRightInd w:val="0"/>
        <w:snapToGrid w:val="0"/>
        <w:spacing w:line="360" w:lineRule="auto"/>
        <w:ind w:firstLine="424" w:firstLineChars="177"/>
        <w:rPr>
          <w:rFonts w:hAnsi="宋体"/>
          <w:color w:val="auto"/>
          <w:szCs w:val="24"/>
          <w:highlight w:val="none"/>
        </w:rPr>
      </w:pPr>
    </w:p>
    <w:tbl>
      <w:tblPr>
        <w:tblStyle w:val="58"/>
        <w:tblW w:w="0" w:type="auto"/>
        <w:jc w:val="center"/>
        <w:tblLayout w:type="fixed"/>
        <w:tblCellMar>
          <w:top w:w="0" w:type="dxa"/>
          <w:left w:w="108" w:type="dxa"/>
          <w:bottom w:w="0" w:type="dxa"/>
          <w:right w:w="108" w:type="dxa"/>
        </w:tblCellMar>
      </w:tblPr>
      <w:tblGrid>
        <w:gridCol w:w="4749"/>
        <w:gridCol w:w="4749"/>
      </w:tblGrid>
      <w:tr>
        <w:tblPrEx>
          <w:tblCellMar>
            <w:top w:w="0" w:type="dxa"/>
            <w:left w:w="108" w:type="dxa"/>
            <w:bottom w:w="0" w:type="dxa"/>
            <w:right w:w="108" w:type="dxa"/>
          </w:tblCellMar>
        </w:tblPrEx>
        <w:trPr>
          <w:trHeight w:val="661" w:hRule="atLeast"/>
          <w:jc w:val="center"/>
        </w:trPr>
        <w:tc>
          <w:tcPr>
            <w:tcW w:w="4749" w:type="dxa"/>
          </w:tcPr>
          <w:p>
            <w:pPr>
              <w:adjustRightInd w:val="0"/>
              <w:snapToGrid w:val="0"/>
              <w:rPr>
                <w:rFonts w:hAnsi="宋体"/>
                <w:color w:val="auto"/>
                <w:highlight w:val="none"/>
              </w:rPr>
            </w:pPr>
            <w:r>
              <w:rPr>
                <w:rFonts w:hint="eastAsia" w:hAnsi="宋体"/>
                <w:b/>
                <w:color w:val="auto"/>
                <w:highlight w:val="none"/>
              </w:rPr>
              <w:t>发包人（公章）：</w:t>
            </w:r>
          </w:p>
        </w:tc>
        <w:tc>
          <w:tcPr>
            <w:tcW w:w="4749" w:type="dxa"/>
          </w:tcPr>
          <w:p>
            <w:pPr>
              <w:adjustRightInd w:val="0"/>
              <w:snapToGrid w:val="0"/>
              <w:rPr>
                <w:rFonts w:hAnsi="宋体"/>
                <w:color w:val="auto"/>
                <w:highlight w:val="none"/>
              </w:rPr>
            </w:pPr>
            <w:r>
              <w:rPr>
                <w:rFonts w:hint="eastAsia" w:hAnsi="宋体"/>
                <w:b/>
                <w:color w:val="auto"/>
                <w:highlight w:val="none"/>
              </w:rPr>
              <w:t>承包人（公章）：</w:t>
            </w:r>
          </w:p>
        </w:tc>
      </w:tr>
      <w:tr>
        <w:tblPrEx>
          <w:tblCellMar>
            <w:top w:w="0" w:type="dxa"/>
            <w:left w:w="108" w:type="dxa"/>
            <w:bottom w:w="0" w:type="dxa"/>
            <w:right w:w="108" w:type="dxa"/>
          </w:tblCellMar>
        </w:tblPrEx>
        <w:trPr>
          <w:trHeight w:val="1031" w:hRule="atLeast"/>
          <w:jc w:val="center"/>
        </w:trPr>
        <w:tc>
          <w:tcPr>
            <w:tcW w:w="4749" w:type="dxa"/>
            <w:vAlign w:val="center"/>
          </w:tcPr>
          <w:p>
            <w:pPr>
              <w:adjustRightInd w:val="0"/>
              <w:snapToGrid w:val="0"/>
              <w:rPr>
                <w:rFonts w:hAnsi="宋体"/>
                <w:color w:val="auto"/>
                <w:highlight w:val="none"/>
              </w:rPr>
            </w:pPr>
            <w:r>
              <w:rPr>
                <w:rFonts w:hint="eastAsia" w:hAnsi="宋体"/>
                <w:color w:val="auto"/>
                <w:highlight w:val="none"/>
              </w:rPr>
              <w:t>法定代表人或</w:t>
            </w:r>
          </w:p>
          <w:p>
            <w:pPr>
              <w:adjustRightInd w:val="0"/>
              <w:snapToGrid w:val="0"/>
              <w:rPr>
                <w:rFonts w:hAnsi="宋体"/>
                <w:color w:val="auto"/>
                <w:highlight w:val="none"/>
              </w:rPr>
            </w:pPr>
            <w:r>
              <w:rPr>
                <w:rFonts w:hint="eastAsia" w:hAnsi="宋体"/>
                <w:color w:val="auto"/>
                <w:highlight w:val="none"/>
              </w:rPr>
              <w:t>授权代理人（签字）：</w:t>
            </w:r>
          </w:p>
        </w:tc>
        <w:tc>
          <w:tcPr>
            <w:tcW w:w="4749" w:type="dxa"/>
            <w:vAlign w:val="center"/>
          </w:tcPr>
          <w:p>
            <w:pPr>
              <w:adjustRightInd w:val="0"/>
              <w:snapToGrid w:val="0"/>
              <w:rPr>
                <w:rFonts w:hAnsi="宋体"/>
                <w:color w:val="auto"/>
                <w:highlight w:val="none"/>
              </w:rPr>
            </w:pPr>
            <w:r>
              <w:rPr>
                <w:rFonts w:hint="eastAsia" w:hAnsi="宋体"/>
                <w:color w:val="auto"/>
                <w:highlight w:val="none"/>
              </w:rPr>
              <w:t>法定代表人或</w:t>
            </w:r>
          </w:p>
          <w:p>
            <w:pPr>
              <w:adjustRightInd w:val="0"/>
              <w:snapToGrid w:val="0"/>
              <w:rPr>
                <w:rFonts w:hAnsi="宋体"/>
                <w:color w:val="auto"/>
                <w:highlight w:val="none"/>
              </w:rPr>
            </w:pPr>
            <w:r>
              <w:rPr>
                <w:rFonts w:hint="eastAsia" w:hAnsi="宋体"/>
                <w:color w:val="auto"/>
                <w:highlight w:val="none"/>
              </w:rPr>
              <w:t>授权代理人（签字）：</w:t>
            </w:r>
          </w:p>
        </w:tc>
      </w:tr>
      <w:tr>
        <w:tblPrEx>
          <w:tblCellMar>
            <w:top w:w="0" w:type="dxa"/>
            <w:left w:w="108" w:type="dxa"/>
            <w:bottom w:w="0" w:type="dxa"/>
            <w:right w:w="108" w:type="dxa"/>
          </w:tblCellMar>
        </w:tblPrEx>
        <w:trPr>
          <w:trHeight w:val="709" w:hRule="atLeast"/>
          <w:jc w:val="center"/>
        </w:trPr>
        <w:tc>
          <w:tcPr>
            <w:tcW w:w="9498" w:type="dxa"/>
            <w:gridSpan w:val="2"/>
            <w:vAlign w:val="center"/>
          </w:tcPr>
          <w:p>
            <w:pPr>
              <w:adjustRightInd w:val="0"/>
              <w:snapToGrid w:val="0"/>
              <w:rPr>
                <w:rFonts w:hAnsi="宋体"/>
                <w:color w:val="auto"/>
                <w:highlight w:val="none"/>
              </w:rPr>
            </w:pPr>
            <w:r>
              <w:rPr>
                <w:rFonts w:hint="eastAsia" w:hAnsi="宋体"/>
                <w:color w:val="auto"/>
                <w:highlight w:val="none"/>
              </w:rPr>
              <w:t>签订日期：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                签订日期：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tc>
      </w:tr>
    </w:tbl>
    <w:p>
      <w:pPr>
        <w:adjustRightInd w:val="0"/>
        <w:snapToGrid w:val="0"/>
        <w:spacing w:line="360" w:lineRule="auto"/>
        <w:rPr>
          <w:rFonts w:hAnsi="宋体"/>
          <w:color w:val="auto"/>
          <w:szCs w:val="21"/>
          <w:highlight w:val="none"/>
        </w:rPr>
      </w:pPr>
    </w:p>
    <w:p>
      <w:pPr>
        <w:adjustRightInd w:val="0"/>
        <w:snapToGrid w:val="0"/>
        <w:spacing w:line="360" w:lineRule="auto"/>
        <w:rPr>
          <w:rFonts w:hAnsi="宋体"/>
          <w:color w:val="auto"/>
          <w:highlight w:val="none"/>
        </w:rPr>
      </w:pPr>
    </w:p>
    <w:p>
      <w:pPr>
        <w:adjustRightInd w:val="0"/>
        <w:snapToGrid w:val="0"/>
        <w:spacing w:line="360" w:lineRule="auto"/>
        <w:rPr>
          <w:rFonts w:ascii="黑体" w:hAnsi="黑体" w:eastAsia="黑体"/>
          <w:b/>
          <w:bCs/>
          <w:color w:val="auto"/>
          <w:sz w:val="32"/>
          <w:szCs w:val="32"/>
          <w:highlight w:val="none"/>
          <w:u w:val="single"/>
        </w:rPr>
      </w:pPr>
      <w:r>
        <w:rPr>
          <w:rFonts w:hAnsi="宋体"/>
          <w:b/>
          <w:bCs/>
          <w:color w:val="auto"/>
          <w:highlight w:val="none"/>
          <w:u w:val="single"/>
        </w:rPr>
        <w:br w:type="page"/>
      </w:r>
      <w:r>
        <w:rPr>
          <w:rFonts w:hint="eastAsia" w:hAnsi="宋体"/>
          <w:b/>
          <w:bCs/>
          <w:color w:val="auto"/>
          <w:highlight w:val="none"/>
          <w:u w:val="single"/>
        </w:rPr>
        <w:t>附件二</w:t>
      </w:r>
    </w:p>
    <w:p>
      <w:pPr>
        <w:adjustRightInd w:val="0"/>
        <w:snapToGrid w:val="0"/>
        <w:spacing w:line="360" w:lineRule="auto"/>
        <w:jc w:val="center"/>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安全生产协议</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为加强施工现场安全管理，</w:t>
      </w:r>
      <w:r>
        <w:rPr>
          <w:rFonts w:hint="eastAsia" w:ascii="宋体" w:hAnsi="宋体"/>
          <w:color w:val="auto"/>
          <w:highlight w:val="none"/>
        </w:rPr>
        <w:t>明确发包人与承包人的各自责任，保证</w:t>
      </w:r>
      <w:r>
        <w:rPr>
          <w:rFonts w:ascii="宋体" w:hAnsi="宋体"/>
          <w:color w:val="auto"/>
          <w:highlight w:val="none"/>
        </w:rPr>
        <w:t>国家和</w:t>
      </w:r>
      <w:r>
        <w:rPr>
          <w:rFonts w:hint="eastAsia" w:ascii="宋体" w:hAnsi="宋体"/>
          <w:color w:val="auto"/>
          <w:highlight w:val="none"/>
        </w:rPr>
        <w:t>公司的财产信誉不受损失和侵害，</w:t>
      </w:r>
      <w:r>
        <w:rPr>
          <w:rFonts w:ascii="宋体" w:hAnsi="宋体"/>
          <w:color w:val="auto"/>
          <w:highlight w:val="none"/>
        </w:rPr>
        <w:t>保障施工现场的</w:t>
      </w:r>
      <w:r>
        <w:rPr>
          <w:rFonts w:hint="eastAsia" w:ascii="宋体" w:hAnsi="宋体"/>
          <w:bCs/>
          <w:color w:val="auto"/>
          <w:highlight w:val="none"/>
        </w:rPr>
        <w:t>安全生产制度健全、管理规范、安全投入及设施落实到位，</w:t>
      </w:r>
      <w:r>
        <w:rPr>
          <w:rFonts w:hint="eastAsia" w:ascii="宋体" w:hAnsi="宋体"/>
          <w:color w:val="auto"/>
          <w:highlight w:val="none"/>
        </w:rPr>
        <w:t>以人为本</w:t>
      </w:r>
      <w:r>
        <w:rPr>
          <w:rFonts w:ascii="宋体" w:hAnsi="宋体"/>
          <w:color w:val="auto"/>
          <w:highlight w:val="none"/>
        </w:rPr>
        <w:t>保护</w:t>
      </w:r>
      <w:r>
        <w:rPr>
          <w:rFonts w:hint="eastAsia" w:ascii="宋体" w:hAnsi="宋体"/>
          <w:color w:val="auto"/>
          <w:highlight w:val="none"/>
        </w:rPr>
        <w:t>员</w:t>
      </w:r>
      <w:r>
        <w:rPr>
          <w:rFonts w:ascii="宋体" w:hAnsi="宋体"/>
          <w:color w:val="auto"/>
          <w:highlight w:val="none"/>
        </w:rPr>
        <w:t>工的人身安全、</w:t>
      </w:r>
      <w:r>
        <w:rPr>
          <w:rFonts w:hint="eastAsia" w:ascii="宋体" w:hAnsi="宋体"/>
          <w:color w:val="auto"/>
          <w:highlight w:val="none"/>
        </w:rPr>
        <w:t>社会和谐稳定，</w:t>
      </w:r>
      <w:r>
        <w:rPr>
          <w:rFonts w:ascii="宋体" w:hAnsi="宋体"/>
          <w:color w:val="auto"/>
          <w:highlight w:val="none"/>
        </w:rPr>
        <w:t>依据《</w:t>
      </w:r>
      <w:r>
        <w:rPr>
          <w:rFonts w:hint="eastAsia" w:ascii="宋体" w:hAnsi="宋体"/>
          <w:color w:val="auto"/>
          <w:highlight w:val="none"/>
        </w:rPr>
        <w:t>建设工程安全生产管理条理</w:t>
      </w:r>
      <w:r>
        <w:rPr>
          <w:rFonts w:ascii="宋体" w:hAnsi="宋体"/>
          <w:color w:val="auto"/>
          <w:highlight w:val="none"/>
        </w:rPr>
        <w:t>》、《中华人民共和国建筑法》、《中华人民共和国劳动法》</w:t>
      </w:r>
      <w:r>
        <w:rPr>
          <w:rFonts w:hint="eastAsia" w:ascii="宋体" w:hAnsi="宋体"/>
          <w:color w:val="auto"/>
          <w:highlight w:val="none"/>
        </w:rPr>
        <w:t>、</w:t>
      </w:r>
      <w:r>
        <w:rPr>
          <w:rFonts w:ascii="宋体" w:hAnsi="宋体"/>
          <w:color w:val="auto"/>
          <w:highlight w:val="none"/>
        </w:rPr>
        <w:t>《建筑安装工程承包合同条例》等一系列</w:t>
      </w:r>
      <w:r>
        <w:rPr>
          <w:rFonts w:hint="eastAsia" w:ascii="宋体" w:hAnsi="宋体"/>
          <w:color w:val="auto"/>
          <w:highlight w:val="none"/>
        </w:rPr>
        <w:t>法律法规和规范，</w:t>
      </w:r>
      <w:r>
        <w:rPr>
          <w:rFonts w:ascii="宋体" w:hAnsi="宋体"/>
          <w:color w:val="auto"/>
          <w:highlight w:val="none"/>
        </w:rPr>
        <w:t>双方就本工程施工安全生产达成如下协议：</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rPr>
          <w:rFonts w:ascii="黑体" w:hAnsi="黑体" w:eastAsia="黑体"/>
          <w:b/>
          <w:color w:val="auto"/>
          <w:highlight w:val="none"/>
        </w:rPr>
      </w:pPr>
      <w:r>
        <w:rPr>
          <w:rFonts w:ascii="黑体" w:hAnsi="黑体" w:eastAsia="黑体"/>
          <w:b/>
          <w:color w:val="auto"/>
          <w:highlight w:val="none"/>
        </w:rPr>
        <w:t>第一条  基本情况</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1、工程概况</w:t>
      </w:r>
    </w:p>
    <w:p>
      <w:pPr>
        <w:spacing w:line="360" w:lineRule="auto"/>
        <w:ind w:left="1747" w:leftChars="228" w:hanging="1200" w:hangingChars="500"/>
        <w:rPr>
          <w:rFonts w:hAnsi="宋体"/>
          <w:color w:val="auto"/>
          <w:highlight w:val="none"/>
        </w:rPr>
      </w:pPr>
      <w:r>
        <w:rPr>
          <w:rFonts w:hAnsi="宋体"/>
          <w:color w:val="auto"/>
          <w:highlight w:val="none"/>
        </w:rPr>
        <w:t>工程名称：</w:t>
      </w:r>
      <w:r>
        <w:rPr>
          <w:rFonts w:hint="eastAsia" w:hAnsi="宋体"/>
          <w:color w:val="auto"/>
          <w:highlight w:val="none"/>
        </w:rPr>
        <w:t xml:space="preserve">                                     </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480" w:firstLineChars="200"/>
        <w:rPr>
          <w:rFonts w:ascii="宋体" w:hAnsi="宋体"/>
          <w:color w:val="auto"/>
          <w:highlight w:val="none"/>
        </w:rPr>
      </w:pPr>
      <w:r>
        <w:rPr>
          <w:rFonts w:ascii="宋体" w:hAnsi="宋体"/>
          <w:color w:val="auto"/>
          <w:highlight w:val="none"/>
        </w:rPr>
        <w:t>工程地点：</w:t>
      </w:r>
      <w:r>
        <w:rPr>
          <w:rFonts w:hint="eastAsia" w:ascii="宋体" w:hAnsi="宋体"/>
          <w:color w:val="auto"/>
          <w:highlight w:val="none"/>
        </w:rPr>
        <w:t xml:space="preserve">                                     </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480" w:firstLineChars="200"/>
        <w:rPr>
          <w:rFonts w:ascii="宋体" w:hAnsi="宋体"/>
          <w:color w:val="auto"/>
          <w:highlight w:val="none"/>
        </w:rPr>
      </w:pPr>
      <w:r>
        <w:rPr>
          <w:rFonts w:hint="eastAsia" w:ascii="宋体" w:hAnsi="宋体"/>
          <w:color w:val="auto"/>
          <w:highlight w:val="none"/>
        </w:rPr>
        <w:t>承包范围及内容</w:t>
      </w:r>
      <w:r>
        <w:rPr>
          <w:rFonts w:ascii="宋体" w:hAnsi="宋体"/>
          <w:color w:val="auto"/>
          <w:highlight w:val="none"/>
        </w:rPr>
        <w:t>：</w:t>
      </w:r>
      <w:r>
        <w:rPr>
          <w:rFonts w:hint="eastAsia" w:ascii="宋体" w:hAnsi="宋体"/>
          <w:color w:val="auto"/>
          <w:highlight w:val="none"/>
        </w:rPr>
        <w:t xml:space="preserve">                               </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2、工期</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工程项目施工期限：</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日至</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p>
    <w:p>
      <w:pPr>
        <w:pStyle w:val="51"/>
        <w:shd w:val="clear" w:color="auto" w:fill="FFFFFF"/>
        <w:tabs>
          <w:tab w:val="left" w:pos="360"/>
        </w:tabs>
        <w:adjustRightInd w:val="0"/>
        <w:snapToGrid w:val="0"/>
        <w:spacing w:line="360" w:lineRule="auto"/>
        <w:ind w:left="410" w:hanging="410" w:hangingChars="170"/>
        <w:rPr>
          <w:rFonts w:ascii="黑体" w:hAnsi="黑体" w:eastAsia="黑体"/>
          <w:b/>
          <w:color w:val="auto"/>
          <w:highlight w:val="none"/>
        </w:rPr>
      </w:pPr>
      <w:r>
        <w:rPr>
          <w:rFonts w:ascii="黑体" w:hAnsi="黑体" w:eastAsia="黑体"/>
          <w:b/>
          <w:color w:val="auto"/>
          <w:highlight w:val="none"/>
        </w:rPr>
        <w:t xml:space="preserve">第二条  </w:t>
      </w:r>
      <w:r>
        <w:rPr>
          <w:rFonts w:ascii="宋体" w:hAnsi="宋体"/>
          <w:color w:val="auto"/>
          <w:highlight w:val="none"/>
        </w:rPr>
        <w:t>双方</w:t>
      </w:r>
      <w:r>
        <w:rPr>
          <w:rFonts w:hint="eastAsia" w:ascii="宋体" w:hAnsi="宋体"/>
          <w:color w:val="auto"/>
          <w:highlight w:val="none"/>
        </w:rPr>
        <w:t>都</w:t>
      </w:r>
      <w:r>
        <w:rPr>
          <w:rFonts w:ascii="宋体" w:hAnsi="宋体"/>
          <w:color w:val="auto"/>
          <w:highlight w:val="none"/>
        </w:rPr>
        <w:t>应共同遵守、《</w:t>
      </w:r>
      <w:r>
        <w:rPr>
          <w:rFonts w:hint="eastAsia" w:ascii="宋体" w:hAnsi="宋体"/>
          <w:color w:val="auto"/>
          <w:highlight w:val="none"/>
        </w:rPr>
        <w:t>中华人民共和国</w:t>
      </w:r>
      <w:r>
        <w:rPr>
          <w:rFonts w:ascii="宋体" w:hAnsi="宋体"/>
          <w:color w:val="auto"/>
          <w:highlight w:val="none"/>
        </w:rPr>
        <w:t>安全生产法》</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中华人民共和国建筑</w:t>
      </w:r>
      <w:r>
        <w:rPr>
          <w:rFonts w:ascii="宋体" w:hAnsi="宋体"/>
          <w:color w:val="auto"/>
          <w:highlight w:val="none"/>
        </w:rPr>
        <w:t>法》《建设工程安全</w:t>
      </w:r>
      <w:r>
        <w:rPr>
          <w:rFonts w:hint="eastAsia" w:ascii="宋体" w:hAnsi="宋体"/>
          <w:color w:val="auto"/>
          <w:highlight w:val="none"/>
        </w:rPr>
        <w:t>生产</w:t>
      </w:r>
      <w:r>
        <w:rPr>
          <w:rFonts w:ascii="宋体" w:hAnsi="宋体"/>
          <w:color w:val="auto"/>
          <w:highlight w:val="none"/>
        </w:rPr>
        <w:t>管理条例》、等一系列有关安全生产的法律法规</w:t>
      </w:r>
      <w:r>
        <w:rPr>
          <w:rFonts w:hint="eastAsia" w:ascii="宋体" w:hAnsi="宋体"/>
          <w:color w:val="auto"/>
          <w:highlight w:val="none"/>
        </w:rPr>
        <w:t>，各自承担响应的</w:t>
      </w:r>
      <w:r>
        <w:rPr>
          <w:rFonts w:ascii="宋体" w:hAnsi="宋体"/>
          <w:color w:val="auto"/>
          <w:highlight w:val="none"/>
        </w:rPr>
        <w:t>法律</w:t>
      </w:r>
      <w:r>
        <w:rPr>
          <w:rFonts w:hint="eastAsia" w:ascii="宋体" w:hAnsi="宋体"/>
          <w:color w:val="auto"/>
          <w:highlight w:val="none"/>
        </w:rPr>
        <w:t>责任。</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rPr>
          <w:rFonts w:ascii="黑体" w:hAnsi="黑体" w:eastAsia="黑体"/>
          <w:b/>
          <w:color w:val="auto"/>
          <w:highlight w:val="none"/>
        </w:rPr>
      </w:pPr>
      <w:r>
        <w:rPr>
          <w:rFonts w:ascii="黑体" w:hAnsi="黑体" w:eastAsia="黑体"/>
          <w:b/>
          <w:color w:val="auto"/>
          <w:highlight w:val="none"/>
        </w:rPr>
        <w:t>第三条  发包人的安全责任、权利和义务</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hint="eastAsia" w:ascii="宋体" w:hAnsi="宋体"/>
          <w:color w:val="auto"/>
          <w:highlight w:val="none"/>
        </w:rPr>
        <w:t>1、发包人依据《建设工程安全生产管理条例》等法律法规规定责任，全面履行自已应有的权利和义务。</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hint="eastAsia" w:ascii="宋体" w:hAnsi="宋体"/>
          <w:color w:val="auto"/>
          <w:highlight w:val="none"/>
        </w:rPr>
        <w:t>2、发包人对承包人施工安全具有监督、检查和指导的权利。</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hint="eastAsia" w:ascii="宋体" w:hAnsi="宋体"/>
          <w:color w:val="auto"/>
          <w:highlight w:val="none"/>
        </w:rPr>
        <w:t>3、发包人对承包人存在安全生产隐患，使用不合格的机械设备和材料有权责令整改和退场的权利，并下发整改通知单，向建设主管部门举报。</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hint="eastAsia" w:ascii="宋体" w:hAnsi="宋体"/>
          <w:color w:val="auto"/>
          <w:highlight w:val="none"/>
        </w:rPr>
        <w:t>4、发包人有权制止承包人的违章指挥作业，违反安全生产操作规程，对重大安全隐患、违章行为有权责令其停工整改。</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hint="eastAsia" w:ascii="宋体" w:hAnsi="宋体"/>
          <w:color w:val="auto"/>
          <w:highlight w:val="none"/>
        </w:rPr>
        <w:t>5、发包人有权对承包人现场的违法、违规和地方政府的安全管理规定，不服从监理和发包人指导和监督；不遵守已批准的安全管理规定的人员，有进行经济处罚或要求其退场的权利。</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hint="eastAsia" w:ascii="宋体" w:hAnsi="宋体"/>
          <w:color w:val="auto"/>
          <w:highlight w:val="none"/>
        </w:rPr>
        <w:t>6、发包人有权对施工单位安全管理职责落实不到位、现场管理混乱、存在重大安全隐患又不能按期整改或发生四级以上安全事故的承包人进行1-3万元经济处罚、要求更换施工队伍及专职安全员或项目部领导，如发生安全事故，追究其相应的法律责任。</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rPr>
          <w:rFonts w:ascii="黑体" w:hAnsi="黑体" w:eastAsia="黑体"/>
          <w:b/>
          <w:color w:val="auto"/>
          <w:highlight w:val="none"/>
        </w:rPr>
      </w:pPr>
      <w:r>
        <w:rPr>
          <w:rFonts w:ascii="黑体" w:hAnsi="黑体" w:eastAsia="黑体"/>
          <w:b/>
          <w:color w:val="auto"/>
          <w:highlight w:val="none"/>
        </w:rPr>
        <w:t>第四条  承包人的安全责任、权利和义务</w:t>
      </w:r>
    </w:p>
    <w:p>
      <w:pPr>
        <w:pStyle w:val="51"/>
        <w:shd w:val="clear" w:color="auto" w:fill="FFFFFF"/>
        <w:tabs>
          <w:tab w:val="left" w:pos="360"/>
        </w:tabs>
        <w:adjustRightInd w:val="0"/>
        <w:snapToGrid w:val="0"/>
        <w:spacing w:line="360" w:lineRule="auto"/>
        <w:ind w:left="408" w:leftChars="150" w:hanging="48" w:hangingChars="20"/>
        <w:rPr>
          <w:rFonts w:ascii="宋体" w:hAnsi="宋体"/>
          <w:color w:val="auto"/>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承包人要严格</w:t>
      </w:r>
      <w:r>
        <w:rPr>
          <w:rFonts w:hint="eastAsia" w:ascii="宋体" w:hAnsi="宋体"/>
          <w:color w:val="auto"/>
          <w:highlight w:val="none"/>
        </w:rPr>
        <w:t>执行国家已发布的有关法律法规和地方政府有关安全管理的规定，</w:t>
      </w:r>
      <w:r>
        <w:rPr>
          <w:rFonts w:ascii="宋体" w:hAnsi="宋体"/>
          <w:color w:val="auto"/>
          <w:highlight w:val="none"/>
        </w:rPr>
        <w:t>严格执行</w:t>
      </w:r>
      <w:r>
        <w:rPr>
          <w:rFonts w:hint="eastAsia" w:ascii="宋体" w:hAnsi="宋体"/>
          <w:color w:val="auto"/>
          <w:highlight w:val="none"/>
        </w:rPr>
        <w:t>已批准或专家论的</w:t>
      </w:r>
      <w:r>
        <w:rPr>
          <w:rFonts w:ascii="宋体" w:hAnsi="宋体"/>
          <w:color w:val="auto"/>
          <w:highlight w:val="none"/>
        </w:rPr>
        <w:t>各项安全生产的规章制度</w:t>
      </w:r>
      <w:r>
        <w:rPr>
          <w:rFonts w:hint="eastAsia" w:ascii="宋体" w:hAnsi="宋体"/>
          <w:color w:val="auto"/>
          <w:highlight w:val="none"/>
        </w:rPr>
        <w:t>和方案。</w:t>
      </w:r>
      <w:r>
        <w:rPr>
          <w:rFonts w:ascii="宋体" w:hAnsi="宋体"/>
          <w:color w:val="auto"/>
          <w:highlight w:val="none"/>
        </w:rPr>
        <w:t>接受</w:t>
      </w:r>
      <w:r>
        <w:rPr>
          <w:rFonts w:hint="eastAsia" w:ascii="宋体" w:hAnsi="宋体"/>
          <w:color w:val="auto"/>
          <w:highlight w:val="none"/>
        </w:rPr>
        <w:t>监理和</w:t>
      </w:r>
      <w:r>
        <w:rPr>
          <w:rFonts w:ascii="宋体" w:hAnsi="宋体"/>
          <w:color w:val="auto"/>
          <w:highlight w:val="none"/>
        </w:rPr>
        <w:t>发包人的指导、监督、检查和教育。</w:t>
      </w:r>
    </w:p>
    <w:p>
      <w:pPr>
        <w:pStyle w:val="51"/>
        <w:shd w:val="clear" w:color="auto" w:fill="FFFFFF"/>
        <w:tabs>
          <w:tab w:val="left" w:pos="360"/>
        </w:tabs>
        <w:adjustRightInd w:val="0"/>
        <w:snapToGrid w:val="0"/>
        <w:spacing w:line="360" w:lineRule="auto"/>
        <w:ind w:left="408" w:leftChars="150" w:hanging="48" w:hangingChars="20"/>
        <w:rPr>
          <w:rFonts w:ascii="宋体" w:hAnsi="宋体"/>
          <w:color w:val="auto"/>
          <w:highlight w:val="none"/>
        </w:rPr>
      </w:pPr>
      <w:r>
        <w:rPr>
          <w:rFonts w:ascii="宋体" w:hAnsi="宋体"/>
          <w:color w:val="auto"/>
          <w:highlight w:val="none"/>
        </w:rPr>
        <w:t>2、严格执行建设部JGJ59—</w:t>
      </w:r>
      <w:r>
        <w:rPr>
          <w:rFonts w:hint="eastAsia" w:ascii="宋体" w:hAnsi="宋体"/>
          <w:color w:val="auto"/>
          <w:highlight w:val="none"/>
        </w:rPr>
        <w:t>2011</w:t>
      </w:r>
      <w:r>
        <w:rPr>
          <w:rFonts w:ascii="宋体" w:hAnsi="宋体"/>
          <w:color w:val="auto"/>
          <w:highlight w:val="none"/>
        </w:rPr>
        <w:t>《建筑安全施工检查标准》</w:t>
      </w:r>
      <w:r>
        <w:rPr>
          <w:rFonts w:hint="eastAsia" w:ascii="宋体" w:hAnsi="宋体"/>
          <w:color w:val="auto"/>
          <w:highlight w:val="none"/>
        </w:rPr>
        <w:t>；</w:t>
      </w:r>
      <w:r>
        <w:rPr>
          <w:rFonts w:ascii="宋体" w:hAnsi="宋体"/>
          <w:color w:val="auto"/>
          <w:highlight w:val="none"/>
        </w:rPr>
        <w:t>JGJ</w:t>
      </w:r>
      <w:r>
        <w:rPr>
          <w:rFonts w:hint="eastAsia" w:ascii="宋体" w:hAnsi="宋体"/>
          <w:color w:val="auto"/>
          <w:highlight w:val="none"/>
        </w:rPr>
        <w:t>/77</w:t>
      </w:r>
      <w:r>
        <w:rPr>
          <w:rFonts w:ascii="宋体" w:hAnsi="宋体"/>
          <w:color w:val="auto"/>
          <w:highlight w:val="none"/>
        </w:rPr>
        <w:t>—</w:t>
      </w:r>
      <w:r>
        <w:rPr>
          <w:rFonts w:hint="eastAsia" w:ascii="宋体" w:hAnsi="宋体"/>
          <w:color w:val="auto"/>
          <w:highlight w:val="none"/>
        </w:rPr>
        <w:t>2010</w:t>
      </w:r>
      <w:r>
        <w:rPr>
          <w:rFonts w:ascii="宋体" w:hAnsi="宋体"/>
          <w:color w:val="auto"/>
          <w:highlight w:val="none"/>
        </w:rPr>
        <w:t>《建筑</w:t>
      </w:r>
      <w:r>
        <w:rPr>
          <w:rFonts w:hint="eastAsia" w:ascii="宋体" w:hAnsi="宋体"/>
          <w:color w:val="auto"/>
          <w:highlight w:val="none"/>
        </w:rPr>
        <w:t>企业</w:t>
      </w:r>
      <w:r>
        <w:rPr>
          <w:rFonts w:ascii="宋体" w:hAnsi="宋体"/>
          <w:color w:val="auto"/>
          <w:highlight w:val="none"/>
        </w:rPr>
        <w:t>安全</w:t>
      </w:r>
      <w:r>
        <w:rPr>
          <w:rFonts w:hint="eastAsia" w:ascii="宋体" w:hAnsi="宋体"/>
          <w:color w:val="auto"/>
          <w:highlight w:val="none"/>
        </w:rPr>
        <w:t>生产评价</w:t>
      </w:r>
      <w:r>
        <w:rPr>
          <w:rFonts w:ascii="宋体" w:hAnsi="宋体"/>
          <w:color w:val="auto"/>
          <w:highlight w:val="none"/>
        </w:rPr>
        <w:t>标准》</w:t>
      </w:r>
      <w:r>
        <w:rPr>
          <w:rFonts w:hint="eastAsia" w:ascii="宋体" w:hAnsi="宋体"/>
          <w:color w:val="auto"/>
          <w:highlight w:val="none"/>
        </w:rPr>
        <w:t>；建筑安全操作</w:t>
      </w:r>
      <w:r>
        <w:rPr>
          <w:rFonts w:ascii="宋体" w:hAnsi="宋体"/>
          <w:color w:val="auto"/>
          <w:highlight w:val="none"/>
        </w:rPr>
        <w:t>规程</w:t>
      </w:r>
      <w:r>
        <w:rPr>
          <w:rFonts w:hint="eastAsia" w:ascii="宋体" w:hAnsi="宋体"/>
          <w:color w:val="auto"/>
          <w:highlight w:val="none"/>
        </w:rPr>
        <w:t>等</w:t>
      </w:r>
      <w:r>
        <w:rPr>
          <w:rFonts w:ascii="宋体" w:hAnsi="宋体"/>
          <w:color w:val="auto"/>
          <w:highlight w:val="none"/>
        </w:rPr>
        <w:t>。</w:t>
      </w:r>
    </w:p>
    <w:p>
      <w:pPr>
        <w:pStyle w:val="51"/>
        <w:shd w:val="clear" w:color="auto" w:fill="FFFFFF"/>
        <w:tabs>
          <w:tab w:val="left" w:pos="0"/>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3、承包人</w:t>
      </w:r>
      <w:r>
        <w:rPr>
          <w:rFonts w:hint="eastAsia" w:ascii="宋体" w:hAnsi="宋体"/>
          <w:color w:val="auto"/>
          <w:highlight w:val="none"/>
        </w:rPr>
        <w:t>必须</w:t>
      </w:r>
      <w:r>
        <w:rPr>
          <w:rFonts w:ascii="宋体" w:hAnsi="宋体"/>
          <w:color w:val="auto"/>
          <w:highlight w:val="none"/>
        </w:rPr>
        <w:t>明确本单位各级人员的安全生产责任，同时配齐专职或兼职安全</w:t>
      </w:r>
      <w:r>
        <w:rPr>
          <w:rFonts w:hint="eastAsia" w:ascii="宋体" w:hAnsi="宋体"/>
          <w:color w:val="auto"/>
          <w:highlight w:val="none"/>
        </w:rPr>
        <w:t>员</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4、承包人</w:t>
      </w:r>
      <w:r>
        <w:rPr>
          <w:rFonts w:hint="eastAsia" w:ascii="宋体" w:hAnsi="宋体"/>
          <w:color w:val="auto"/>
          <w:highlight w:val="none"/>
        </w:rPr>
        <w:t>的</w:t>
      </w:r>
      <w:r>
        <w:rPr>
          <w:rFonts w:ascii="宋体" w:hAnsi="宋体"/>
          <w:color w:val="auto"/>
          <w:highlight w:val="none"/>
        </w:rPr>
        <w:t>特种作业人员必须</w:t>
      </w:r>
      <w:r>
        <w:rPr>
          <w:rFonts w:hint="eastAsia" w:ascii="宋体" w:hAnsi="宋体"/>
          <w:color w:val="auto"/>
          <w:highlight w:val="none"/>
        </w:rPr>
        <w:t>持</w:t>
      </w:r>
      <w:r>
        <w:rPr>
          <w:rFonts w:ascii="宋体" w:hAnsi="宋体"/>
          <w:color w:val="auto"/>
          <w:highlight w:val="none"/>
        </w:rPr>
        <w:t>特种作业证上岗</w:t>
      </w:r>
      <w:r>
        <w:rPr>
          <w:rFonts w:hint="eastAsia" w:ascii="宋体" w:hAnsi="宋体"/>
          <w:color w:val="auto"/>
          <w:highlight w:val="none"/>
        </w:rPr>
        <w:t>，并</w:t>
      </w:r>
      <w:r>
        <w:rPr>
          <w:rFonts w:ascii="宋体" w:hAnsi="宋体"/>
          <w:color w:val="auto"/>
          <w:highlight w:val="none"/>
        </w:rPr>
        <w:t>进行入场安全教育和专业知识培训，并将特种作业人员名单和上岗证复印件上</w:t>
      </w:r>
      <w:r>
        <w:rPr>
          <w:rFonts w:hint="eastAsia" w:ascii="宋体" w:hAnsi="宋体"/>
          <w:color w:val="auto"/>
          <w:highlight w:val="none"/>
        </w:rPr>
        <w:t>报监理审查</w:t>
      </w:r>
      <w:r>
        <w:rPr>
          <w:rFonts w:ascii="宋体" w:hAnsi="宋体"/>
          <w:color w:val="auto"/>
          <w:highlight w:val="none"/>
        </w:rPr>
        <w:t>。没有持证的人员不得从事特种作业。</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5、承包人应对进场员工进行入场安全教育，并要有教育记录和签字手续</w:t>
      </w:r>
      <w:r>
        <w:rPr>
          <w:rFonts w:hint="eastAsia" w:ascii="宋体" w:hAnsi="宋体"/>
          <w:color w:val="auto"/>
          <w:highlight w:val="none"/>
        </w:rPr>
        <w:t>，</w:t>
      </w:r>
      <w:r>
        <w:rPr>
          <w:rFonts w:ascii="宋体" w:hAnsi="宋体"/>
          <w:color w:val="auto"/>
          <w:highlight w:val="none"/>
        </w:rPr>
        <w:t>要有书面的安全技术交底，并办理交底双方签字手续</w:t>
      </w:r>
      <w:r>
        <w:rPr>
          <w:rFonts w:hint="eastAsia" w:ascii="宋体" w:hAnsi="宋体"/>
          <w:color w:val="auto"/>
          <w:highlight w:val="none"/>
        </w:rPr>
        <w:t>；</w:t>
      </w:r>
      <w:r>
        <w:rPr>
          <w:rFonts w:ascii="宋体" w:hAnsi="宋体"/>
          <w:color w:val="auto"/>
          <w:highlight w:val="none"/>
        </w:rPr>
        <w:t>承包人施工作业人员</w:t>
      </w:r>
      <w:r>
        <w:rPr>
          <w:rFonts w:hint="eastAsia" w:ascii="宋体" w:hAnsi="宋体"/>
          <w:color w:val="auto"/>
          <w:highlight w:val="none"/>
        </w:rPr>
        <w:t>如</w:t>
      </w:r>
      <w:r>
        <w:rPr>
          <w:rFonts w:ascii="宋体" w:hAnsi="宋体"/>
          <w:color w:val="auto"/>
          <w:highlight w:val="none"/>
        </w:rPr>
        <w:t>有变动的，须及时进行新工人入场教育，并将教育和人员名单报</w:t>
      </w:r>
      <w:r>
        <w:rPr>
          <w:rFonts w:hint="eastAsia" w:ascii="宋体" w:hAnsi="宋体"/>
          <w:color w:val="auto"/>
          <w:highlight w:val="none"/>
        </w:rPr>
        <w:t>监理</w:t>
      </w:r>
      <w:r>
        <w:rPr>
          <w:rFonts w:ascii="宋体" w:hAnsi="宋体"/>
          <w:color w:val="auto"/>
          <w:highlight w:val="none"/>
        </w:rPr>
        <w:t>备案</w:t>
      </w:r>
      <w:r>
        <w:rPr>
          <w:rFonts w:hint="eastAsia" w:ascii="宋体" w:hAnsi="宋体"/>
          <w:color w:val="auto"/>
          <w:highlight w:val="none"/>
        </w:rPr>
        <w:t>。</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6、承包人应根据工程特点，合理安排身体素质、技术水平</w:t>
      </w:r>
      <w:r>
        <w:rPr>
          <w:rFonts w:hint="eastAsia" w:ascii="宋体" w:hAnsi="宋体"/>
          <w:color w:val="auto"/>
          <w:highlight w:val="none"/>
        </w:rPr>
        <w:t>高</w:t>
      </w:r>
      <w:r>
        <w:rPr>
          <w:rFonts w:ascii="宋体" w:hAnsi="宋体"/>
          <w:color w:val="auto"/>
          <w:highlight w:val="none"/>
        </w:rPr>
        <w:t>、安全</w:t>
      </w:r>
      <w:r>
        <w:rPr>
          <w:rFonts w:hint="eastAsia" w:ascii="宋体" w:hAnsi="宋体"/>
          <w:color w:val="auto"/>
          <w:highlight w:val="none"/>
        </w:rPr>
        <w:t>责任心强的</w:t>
      </w:r>
      <w:r>
        <w:rPr>
          <w:rFonts w:ascii="宋体" w:hAnsi="宋体"/>
          <w:color w:val="auto"/>
          <w:highlight w:val="none"/>
        </w:rPr>
        <w:t>人员上岗。</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7</w:t>
      </w:r>
      <w:r>
        <w:rPr>
          <w:rFonts w:hint="eastAsia" w:ascii="宋体" w:hAnsi="宋体"/>
          <w:color w:val="auto"/>
          <w:highlight w:val="none"/>
        </w:rPr>
        <w:t>、</w:t>
      </w:r>
      <w:r>
        <w:rPr>
          <w:rFonts w:ascii="宋体" w:hAnsi="宋体"/>
          <w:color w:val="auto"/>
          <w:highlight w:val="none"/>
        </w:rPr>
        <w:t>承包人要组织施工班组积极开展班组周安全活动和班前安全活动，加强安全教育，提高职工安全意识和劳动保护技能，保证所有员工具备必要的安全生产知识。</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8</w:t>
      </w:r>
      <w:r>
        <w:rPr>
          <w:rFonts w:hint="eastAsia" w:ascii="宋体" w:hAnsi="宋体"/>
          <w:color w:val="auto"/>
          <w:highlight w:val="none"/>
        </w:rPr>
        <w:t>、</w:t>
      </w:r>
      <w:r>
        <w:rPr>
          <w:rFonts w:ascii="宋体" w:hAnsi="宋体"/>
          <w:color w:val="auto"/>
          <w:highlight w:val="none"/>
        </w:rPr>
        <w:t>承包人不得违章指挥或强令工人冒险作业，也不能强迫工人</w:t>
      </w:r>
      <w:r>
        <w:rPr>
          <w:rFonts w:hint="eastAsia" w:ascii="宋体" w:hAnsi="宋体"/>
          <w:color w:val="auto"/>
          <w:highlight w:val="none"/>
        </w:rPr>
        <w:t>超体能</w:t>
      </w:r>
      <w:r>
        <w:rPr>
          <w:rFonts w:ascii="宋体" w:hAnsi="宋体"/>
          <w:color w:val="auto"/>
          <w:highlight w:val="none"/>
        </w:rPr>
        <w:t>连续</w:t>
      </w:r>
      <w:r>
        <w:rPr>
          <w:rFonts w:hint="eastAsia" w:ascii="宋体" w:hAnsi="宋体"/>
          <w:color w:val="auto"/>
          <w:highlight w:val="none"/>
        </w:rPr>
        <w:t>施工。</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9、承包人必须为施工人员提供符合国家标准或行业标准的劳动防护用品，并监督、教育施工人员按照使用规</w:t>
      </w:r>
      <w:r>
        <w:rPr>
          <w:rFonts w:hint="eastAsia" w:ascii="宋体" w:hAnsi="宋体"/>
          <w:color w:val="auto"/>
          <w:highlight w:val="none"/>
        </w:rPr>
        <w:t>定</w:t>
      </w:r>
      <w:r>
        <w:rPr>
          <w:rFonts w:ascii="宋体" w:hAnsi="宋体"/>
          <w:color w:val="auto"/>
          <w:highlight w:val="none"/>
        </w:rPr>
        <w:t>佩戴</w:t>
      </w:r>
      <w:r>
        <w:rPr>
          <w:rFonts w:hint="eastAsia" w:ascii="宋体" w:hAnsi="宋体"/>
          <w:color w:val="auto"/>
          <w:highlight w:val="none"/>
        </w:rPr>
        <w:t>和正确</w:t>
      </w:r>
      <w:r>
        <w:rPr>
          <w:rFonts w:ascii="宋体" w:hAnsi="宋体"/>
          <w:color w:val="auto"/>
          <w:highlight w:val="none"/>
        </w:rPr>
        <w:t>使用</w:t>
      </w:r>
      <w:r>
        <w:rPr>
          <w:rFonts w:hint="eastAsia" w:ascii="宋体" w:hAnsi="宋体"/>
          <w:color w:val="auto"/>
          <w:highlight w:val="none"/>
        </w:rPr>
        <w:t>，</w:t>
      </w:r>
      <w:r>
        <w:rPr>
          <w:rFonts w:ascii="宋体" w:hAnsi="宋体"/>
          <w:color w:val="auto"/>
          <w:highlight w:val="none"/>
        </w:rPr>
        <w:t>同时做好季节性的安全</w:t>
      </w:r>
      <w:r>
        <w:rPr>
          <w:rFonts w:hint="eastAsia" w:ascii="宋体" w:hAnsi="宋体"/>
          <w:color w:val="auto"/>
          <w:highlight w:val="none"/>
        </w:rPr>
        <w:t>施工</w:t>
      </w:r>
      <w:r>
        <w:rPr>
          <w:rFonts w:ascii="宋体" w:hAnsi="宋体"/>
          <w:color w:val="auto"/>
          <w:highlight w:val="none"/>
        </w:rPr>
        <w:t>工作。</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承包人应严格按照（JGJ46-2005</w:t>
      </w:r>
      <w:r>
        <w:rPr>
          <w:rFonts w:hint="eastAsia" w:ascii="宋体" w:hAnsi="宋体"/>
          <w:color w:val="auto"/>
          <w:highlight w:val="none"/>
        </w:rPr>
        <w:t>《</w:t>
      </w:r>
      <w:r>
        <w:rPr>
          <w:rFonts w:ascii="宋体" w:hAnsi="宋体"/>
          <w:color w:val="auto"/>
          <w:highlight w:val="none"/>
        </w:rPr>
        <w:t>施工现场临时用电安全技术规</w:t>
      </w:r>
      <w:r>
        <w:rPr>
          <w:rFonts w:hint="eastAsia" w:ascii="宋体" w:hAnsi="宋体"/>
          <w:color w:val="auto"/>
          <w:highlight w:val="none"/>
        </w:rPr>
        <w:t>范》</w:t>
      </w:r>
      <w:r>
        <w:rPr>
          <w:rFonts w:ascii="宋体" w:hAnsi="宋体"/>
          <w:color w:val="auto"/>
          <w:highlight w:val="none"/>
        </w:rPr>
        <w:t>要求正确用电。且应严格按照三相五线制（TN-S）的规定用电，不得违反“三级配电”、“两级保护”，“一机、一闸、一漏、一箱”的用电规定。</w:t>
      </w:r>
    </w:p>
    <w:p>
      <w:pPr>
        <w:pStyle w:val="51"/>
        <w:shd w:val="clear" w:color="auto" w:fill="FFFFFF"/>
        <w:tabs>
          <w:tab w:val="left" w:pos="0"/>
        </w:tabs>
        <w:adjustRightInd w:val="0"/>
        <w:snapToGrid w:val="0"/>
        <w:spacing w:line="360" w:lineRule="auto"/>
        <w:ind w:firstLine="360" w:firstLineChars="150"/>
        <w:rPr>
          <w:rFonts w:ascii="宋体" w:hAnsi="宋体"/>
          <w:color w:val="auto"/>
          <w:highlight w:val="none"/>
        </w:rPr>
      </w:pPr>
      <w:r>
        <w:rPr>
          <w:rFonts w:ascii="宋体" w:hAnsi="宋体"/>
          <w:color w:val="auto"/>
          <w:highlight w:val="none"/>
        </w:rPr>
        <w:t>10、对发包人人员违章指挥或者可能危及人身安全、财产损失的</w:t>
      </w:r>
      <w:r>
        <w:rPr>
          <w:rFonts w:hint="eastAsia" w:ascii="宋体" w:hAnsi="宋体"/>
          <w:color w:val="auto"/>
          <w:highlight w:val="none"/>
        </w:rPr>
        <w:t>瞎</w:t>
      </w:r>
      <w:r>
        <w:rPr>
          <w:rFonts w:ascii="宋体" w:hAnsi="宋体"/>
          <w:color w:val="auto"/>
          <w:highlight w:val="none"/>
        </w:rPr>
        <w:t>指挥，承包人有权拒绝。</w:t>
      </w:r>
    </w:p>
    <w:p>
      <w:pPr>
        <w:pStyle w:val="51"/>
        <w:shd w:val="clear" w:color="auto" w:fill="FFFFFF"/>
        <w:tabs>
          <w:tab w:val="left" w:pos="0"/>
          <w:tab w:val="clear" w:pos="916"/>
          <w:tab w:val="clear" w:pos="1832"/>
          <w:tab w:val="clear" w:pos="2748"/>
          <w:tab w:val="clear" w:pos="3664"/>
          <w:tab w:val="clear" w:pos="4580"/>
          <w:tab w:val="clear" w:pos="5496"/>
          <w:tab w:val="clear" w:pos="6412"/>
          <w:tab w:val="clear" w:pos="7328"/>
        </w:tabs>
        <w:adjustRightInd w:val="0"/>
        <w:snapToGrid w:val="0"/>
        <w:spacing w:line="360" w:lineRule="auto"/>
        <w:ind w:firstLine="361" w:firstLineChars="150"/>
        <w:rPr>
          <w:rFonts w:ascii="黑体" w:hAnsi="黑体" w:eastAsia="黑体"/>
          <w:b/>
          <w:color w:val="auto"/>
          <w:highlight w:val="none"/>
        </w:rPr>
      </w:pPr>
      <w:r>
        <w:rPr>
          <w:rFonts w:ascii="黑体" w:hAnsi="黑体" w:eastAsia="黑体"/>
          <w:b/>
          <w:color w:val="auto"/>
          <w:highlight w:val="none"/>
        </w:rPr>
        <w:t>第五条  争议</w:t>
      </w:r>
    </w:p>
    <w:p>
      <w:pPr>
        <w:tabs>
          <w:tab w:val="left" w:pos="4700"/>
        </w:tabs>
        <w:spacing w:before="20" w:after="20" w:line="360" w:lineRule="auto"/>
        <w:ind w:firstLine="480" w:firstLineChars="200"/>
        <w:rPr>
          <w:rFonts w:hAnsi="宋体"/>
          <w:color w:val="auto"/>
          <w:highlight w:val="none"/>
        </w:rPr>
      </w:pPr>
      <w:r>
        <w:rPr>
          <w:rFonts w:hAnsi="宋体"/>
          <w:color w:val="auto"/>
          <w:highlight w:val="none"/>
        </w:rPr>
        <w:t>当</w:t>
      </w:r>
      <w:r>
        <w:rPr>
          <w:rFonts w:hint="eastAsia" w:hAnsi="宋体"/>
          <w:color w:val="auto"/>
          <w:highlight w:val="none"/>
        </w:rPr>
        <w:t>发包</w:t>
      </w:r>
      <w:r>
        <w:rPr>
          <w:rFonts w:hAnsi="宋体"/>
          <w:color w:val="auto"/>
          <w:highlight w:val="none"/>
        </w:rPr>
        <w:t>人、承包人</w:t>
      </w:r>
      <w:r>
        <w:rPr>
          <w:rFonts w:hint="eastAsia" w:hAnsi="宋体"/>
          <w:color w:val="auto"/>
          <w:highlight w:val="none"/>
        </w:rPr>
        <w:t>双方</w:t>
      </w:r>
      <w:r>
        <w:rPr>
          <w:rFonts w:hAnsi="宋体"/>
          <w:color w:val="auto"/>
          <w:highlight w:val="none"/>
        </w:rPr>
        <w:t>发生争议时，可通过</w:t>
      </w:r>
      <w:r>
        <w:rPr>
          <w:rFonts w:hint="eastAsia" w:hAnsi="宋体"/>
          <w:color w:val="auto"/>
          <w:highlight w:val="none"/>
        </w:rPr>
        <w:t>政府建设</w:t>
      </w:r>
      <w:r>
        <w:rPr>
          <w:rFonts w:hAnsi="宋体"/>
          <w:color w:val="auto"/>
          <w:highlight w:val="none"/>
        </w:rPr>
        <w:t>主管部门协商调解，若达不成一致意见，</w:t>
      </w:r>
      <w:r>
        <w:rPr>
          <w:rFonts w:hint="eastAsia" w:hAnsi="宋体"/>
          <w:color w:val="auto"/>
          <w:highlight w:val="none"/>
        </w:rPr>
        <w:t>可以</w:t>
      </w:r>
      <w:r>
        <w:rPr>
          <w:rFonts w:hAnsi="宋体"/>
          <w:color w:val="auto"/>
          <w:highlight w:val="none"/>
        </w:rPr>
        <w:t>向</w:t>
      </w:r>
      <w:r>
        <w:rPr>
          <w:rFonts w:hint="eastAsia" w:hAnsi="宋体"/>
          <w:color w:val="auto"/>
          <w:highlight w:val="none"/>
        </w:rPr>
        <w:t>工程所在地法院起诉</w:t>
      </w:r>
      <w:r>
        <w:rPr>
          <w:rFonts w:hAnsi="宋体"/>
          <w:color w:val="auto"/>
          <w:highlight w:val="none"/>
        </w:rPr>
        <w:t>。</w:t>
      </w:r>
    </w:p>
    <w:p>
      <w:pPr>
        <w:tabs>
          <w:tab w:val="left" w:pos="5000"/>
        </w:tabs>
        <w:spacing w:before="62" w:beforeLines="20" w:after="62" w:afterLines="20" w:line="360" w:lineRule="auto"/>
        <w:ind w:left="420"/>
        <w:rPr>
          <w:rFonts w:hAnsi="宋体"/>
          <w:color w:val="auto"/>
          <w:highlight w:val="none"/>
        </w:rPr>
      </w:pPr>
      <w:r>
        <w:rPr>
          <w:rFonts w:hint="eastAsia" w:hAnsi="宋体"/>
          <w:color w:val="auto"/>
          <w:highlight w:val="none"/>
        </w:rPr>
        <w:t>发包人（公章）：</w:t>
      </w:r>
      <w:r>
        <w:rPr>
          <w:rFonts w:hint="eastAsia" w:hAnsi="宋体"/>
          <w:color w:val="auto"/>
          <w:highlight w:val="none"/>
        </w:rPr>
        <w:tab/>
      </w:r>
      <w:r>
        <w:rPr>
          <w:rFonts w:hint="eastAsia" w:hAnsi="宋体"/>
          <w:color w:val="auto"/>
          <w:highlight w:val="none"/>
        </w:rPr>
        <w:t>承 包 人（公章）：</w:t>
      </w:r>
    </w:p>
    <w:p>
      <w:pPr>
        <w:tabs>
          <w:tab w:val="left" w:pos="5000"/>
        </w:tabs>
        <w:spacing w:before="62" w:beforeLines="20" w:after="62" w:afterLines="20" w:line="360" w:lineRule="auto"/>
        <w:ind w:left="420"/>
        <w:rPr>
          <w:rFonts w:hAnsi="宋体"/>
          <w:color w:val="auto"/>
          <w:highlight w:val="none"/>
        </w:rPr>
      </w:pPr>
      <w:r>
        <w:rPr>
          <w:rFonts w:hint="eastAsia" w:hAnsi="宋体"/>
          <w:bCs/>
          <w:color w:val="auto"/>
          <w:spacing w:val="-10"/>
          <w:highlight w:val="none"/>
        </w:rPr>
        <w:t>法定代表人或委托代理人（签字）：            法定代表人或委托代理人（签字）：</w:t>
      </w:r>
      <w:r>
        <w:rPr>
          <w:rFonts w:hAnsi="宋体"/>
          <w:color w:val="auto"/>
          <w:highlight w:val="none"/>
        </w:rPr>
        <w:t xml:space="preserve"> </w:t>
      </w:r>
    </w:p>
    <w:p>
      <w:pPr>
        <w:adjustRightInd w:val="0"/>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r>
        <w:rPr>
          <w:rFonts w:hint="eastAsia" w:hAnsi="宋体"/>
          <w:color w:val="auto"/>
          <w:highlight w:val="none"/>
        </w:rPr>
        <w:tab/>
      </w:r>
      <w:r>
        <w:rPr>
          <w:rFonts w:hint="eastAsia" w:hAnsi="宋体"/>
          <w:color w:val="auto"/>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adjustRightInd w:val="0"/>
        <w:snapToGrid w:val="0"/>
        <w:spacing w:line="360" w:lineRule="auto"/>
        <w:outlineLvl w:val="2"/>
        <w:rPr>
          <w:rFonts w:hAnsi="宋体"/>
          <w:color w:val="auto"/>
          <w:highlight w:val="none"/>
        </w:rPr>
      </w:pPr>
      <w:r>
        <w:rPr>
          <w:rFonts w:hAnsi="宋体"/>
          <w:color w:val="auto"/>
          <w:highlight w:val="none"/>
        </w:rPr>
        <w:br w:type="page"/>
      </w:r>
      <w:r>
        <w:rPr>
          <w:rFonts w:hint="eastAsia" w:hAnsi="宋体" w:cs="HTJ-PK74820000034-Identity-H"/>
          <w:b/>
          <w:color w:val="auto"/>
          <w:sz w:val="32"/>
          <w:szCs w:val="32"/>
          <w:highlight w:val="none"/>
        </w:rPr>
        <w:t>附件四：安全文明</w:t>
      </w:r>
      <w:r>
        <w:rPr>
          <w:rFonts w:hAnsi="宋体" w:cs="HTJ-PK74820000034-Identity-H"/>
          <w:b/>
          <w:color w:val="auto"/>
          <w:sz w:val="32"/>
          <w:szCs w:val="32"/>
          <w:highlight w:val="none"/>
        </w:rPr>
        <w:t>施工协议</w:t>
      </w:r>
    </w:p>
    <w:p>
      <w:pPr>
        <w:pStyle w:val="52"/>
        <w:shd w:val="clear" w:color="auto" w:fill="FFFFFF"/>
        <w:spacing w:line="360" w:lineRule="auto"/>
        <w:jc w:val="center"/>
        <w:rPr>
          <w:rStyle w:val="60"/>
          <w:rFonts w:ascii="楷体_GB2312" w:eastAsia="楷体_GB2312"/>
          <w:color w:val="auto"/>
          <w:sz w:val="44"/>
          <w:szCs w:val="44"/>
          <w:highlight w:val="none"/>
        </w:rPr>
      </w:pPr>
      <w:r>
        <w:rPr>
          <w:rStyle w:val="60"/>
          <w:rFonts w:hint="eastAsia" w:ascii="楷体_GB2312" w:eastAsia="楷体_GB2312"/>
          <w:color w:val="auto"/>
          <w:sz w:val="44"/>
          <w:szCs w:val="44"/>
          <w:highlight w:val="none"/>
        </w:rPr>
        <w:t>安全文明施工协议</w:t>
      </w:r>
    </w:p>
    <w:p>
      <w:pPr>
        <w:pStyle w:val="52"/>
        <w:shd w:val="clear" w:color="auto" w:fill="FFFFFF"/>
        <w:adjustRightInd w:val="0"/>
        <w:snapToGrid w:val="0"/>
        <w:spacing w:before="0" w:beforeAutospacing="0" w:after="0" w:afterAutospacing="0" w:line="360" w:lineRule="auto"/>
        <w:ind w:firstLine="480" w:firstLineChars="200"/>
        <w:rPr>
          <w:rStyle w:val="60"/>
          <w:rFonts w:ascii="楷体_GB2312" w:eastAsia="楷体_GB2312"/>
          <w:b w:val="0"/>
          <w:color w:val="auto"/>
          <w:highlight w:val="none"/>
        </w:rPr>
      </w:pPr>
      <w:r>
        <w:rPr>
          <w:rStyle w:val="60"/>
          <w:rFonts w:hint="eastAsia" w:ascii="楷体_GB2312" w:eastAsia="楷体_GB2312"/>
          <w:b w:val="0"/>
          <w:color w:val="auto"/>
          <w:highlight w:val="none"/>
        </w:rPr>
        <w:t>甲方：中水淮河规划设计研究有限公司</w:t>
      </w:r>
    </w:p>
    <w:p>
      <w:pPr>
        <w:pStyle w:val="52"/>
        <w:shd w:val="clear" w:color="auto" w:fill="FFFFFF"/>
        <w:adjustRightInd w:val="0"/>
        <w:snapToGrid w:val="0"/>
        <w:spacing w:before="0" w:beforeAutospacing="0" w:after="0" w:afterAutospacing="0" w:line="360" w:lineRule="auto"/>
        <w:ind w:firstLine="480" w:firstLineChars="200"/>
        <w:rPr>
          <w:rStyle w:val="60"/>
          <w:rFonts w:ascii="楷体_GB2312" w:eastAsia="楷体_GB2312"/>
          <w:b w:val="0"/>
          <w:color w:val="auto"/>
          <w:highlight w:val="none"/>
        </w:rPr>
      </w:pPr>
      <w:r>
        <w:rPr>
          <w:rStyle w:val="60"/>
          <w:rFonts w:hint="eastAsia" w:ascii="楷体_GB2312" w:eastAsia="楷体_GB2312"/>
          <w:b w:val="0"/>
          <w:color w:val="auto"/>
          <w:highlight w:val="none"/>
        </w:rPr>
        <w:t>乙方：安徽绿城物业管理有限公司</w:t>
      </w:r>
    </w:p>
    <w:p>
      <w:pPr>
        <w:pStyle w:val="52"/>
        <w:shd w:val="clear" w:color="auto" w:fill="FFFFFF"/>
        <w:adjustRightInd w:val="0"/>
        <w:snapToGrid w:val="0"/>
        <w:spacing w:before="0" w:beforeAutospacing="0" w:after="0" w:afterAutospacing="0" w:line="360" w:lineRule="auto"/>
        <w:ind w:firstLine="480" w:firstLineChars="200"/>
        <w:rPr>
          <w:rStyle w:val="60"/>
          <w:rFonts w:ascii="楷体_GB2312" w:eastAsia="楷体_GB2312"/>
          <w:b w:val="0"/>
          <w:color w:val="auto"/>
          <w:highlight w:val="none"/>
        </w:rPr>
      </w:pPr>
      <w:r>
        <w:rPr>
          <w:rStyle w:val="60"/>
          <w:rFonts w:hint="eastAsia" w:ascii="楷体_GB2312" w:eastAsia="楷体_GB2312"/>
          <w:b w:val="0"/>
          <w:color w:val="auto"/>
          <w:highlight w:val="none"/>
        </w:rPr>
        <w:t xml:space="preserve">丙方： </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为加强中水淮河规划设计研究有限公司员工活动中心项目施工现场的管理，确保施工单位安全、文明施工，尽量减少对日常办公的影响，经甲、乙、丙三方协商一致，订立如下安全文明施工协议：</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一、施工期限及工期延长事宜：</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1、施工期限：</w:t>
      </w:r>
      <w:r>
        <w:rPr>
          <w:rFonts w:hint="eastAsia" w:ascii="楷体_GB2312" w:hAnsi="宋体" w:eastAsia="楷体_GB2312"/>
          <w:color w:val="auto"/>
          <w:highlight w:val="none"/>
          <w:u w:val="single"/>
        </w:rPr>
        <w:t xml:space="preserve">    </w:t>
      </w:r>
      <w:r>
        <w:rPr>
          <w:rFonts w:hint="eastAsia" w:ascii="楷体_GB2312" w:hAnsi="宋体" w:eastAsia="楷体_GB2312"/>
          <w:color w:val="auto"/>
          <w:highlight w:val="none"/>
        </w:rPr>
        <w:t>年</w:t>
      </w:r>
      <w:r>
        <w:rPr>
          <w:rFonts w:hint="eastAsia" w:ascii="楷体_GB2312" w:hAnsi="宋体" w:eastAsia="楷体_GB2312"/>
          <w:color w:val="auto"/>
          <w:highlight w:val="none"/>
          <w:u w:val="single"/>
        </w:rPr>
        <w:t xml:space="preserve">     </w:t>
      </w:r>
      <w:r>
        <w:rPr>
          <w:rFonts w:hint="eastAsia" w:ascii="楷体_GB2312" w:hAnsi="宋体" w:eastAsia="楷体_GB2312"/>
          <w:color w:val="auto"/>
          <w:highlight w:val="none"/>
        </w:rPr>
        <w:t>月</w:t>
      </w:r>
      <w:r>
        <w:rPr>
          <w:rFonts w:hint="eastAsia" w:ascii="楷体_GB2312" w:hAnsi="宋体" w:eastAsia="楷体_GB2312"/>
          <w:color w:val="auto"/>
          <w:highlight w:val="none"/>
          <w:u w:val="single"/>
        </w:rPr>
        <w:t xml:space="preserve">    </w:t>
      </w:r>
      <w:r>
        <w:rPr>
          <w:rFonts w:hint="eastAsia" w:ascii="楷体_GB2312" w:hAnsi="宋体" w:eastAsia="楷体_GB2312"/>
          <w:color w:val="auto"/>
          <w:highlight w:val="none"/>
        </w:rPr>
        <w:t>日至</w:t>
      </w:r>
      <w:r>
        <w:rPr>
          <w:rFonts w:hint="eastAsia" w:ascii="楷体_GB2312" w:hAnsi="宋体" w:eastAsia="楷体_GB2312"/>
          <w:color w:val="auto"/>
          <w:highlight w:val="none"/>
          <w:u w:val="single"/>
        </w:rPr>
        <w:t xml:space="preserve">    </w:t>
      </w:r>
      <w:r>
        <w:rPr>
          <w:rFonts w:hint="eastAsia" w:ascii="楷体_GB2312" w:hAnsi="宋体" w:eastAsia="楷体_GB2312"/>
          <w:color w:val="auto"/>
          <w:highlight w:val="none"/>
        </w:rPr>
        <w:t>年</w:t>
      </w:r>
      <w:r>
        <w:rPr>
          <w:rFonts w:hint="eastAsia" w:ascii="楷体_GB2312" w:hAnsi="宋体" w:eastAsia="楷体_GB2312"/>
          <w:color w:val="auto"/>
          <w:highlight w:val="none"/>
          <w:u w:val="single"/>
        </w:rPr>
        <w:t xml:space="preserve">     </w:t>
      </w:r>
      <w:r>
        <w:rPr>
          <w:rFonts w:hint="eastAsia" w:ascii="楷体_GB2312" w:hAnsi="宋体" w:eastAsia="楷体_GB2312"/>
          <w:color w:val="auto"/>
          <w:highlight w:val="none"/>
        </w:rPr>
        <w:t>月</w:t>
      </w:r>
      <w:r>
        <w:rPr>
          <w:rFonts w:hint="eastAsia" w:ascii="楷体_GB2312" w:hAnsi="宋体" w:eastAsia="楷体_GB2312"/>
          <w:color w:val="auto"/>
          <w:highlight w:val="none"/>
          <w:u w:val="single"/>
        </w:rPr>
        <w:t xml:space="preserve">    </w:t>
      </w:r>
      <w:r>
        <w:rPr>
          <w:rFonts w:hint="eastAsia" w:ascii="楷体_GB2312" w:hAnsi="宋体" w:eastAsia="楷体_GB2312"/>
          <w:color w:val="auto"/>
          <w:highlight w:val="none"/>
        </w:rPr>
        <w:t>日</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2、如甲、丙双方协商一致同意延长工期，甲、丙双方应提前5个工作日以书面形式告知乙方，在经得乙方同意后，方可继续进场施工，否则乙方有权在规定工期外的时间拒绝施工人员进场。</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二、施工时间及施工材料管理：</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1、每日施工时间：</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非节假日施工时间节点为8:00-12:00,14:00-18:00；</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节假日为无噪音施工；</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如在非规定时间段噪音施工的，每发现一起</w:t>
      </w:r>
      <w:bookmarkStart w:id="169" w:name="_Hlk3480938"/>
      <w:r>
        <w:rPr>
          <w:rFonts w:hint="eastAsia" w:ascii="楷体_GB2312" w:hAnsi="宋体" w:eastAsia="楷体_GB2312"/>
          <w:color w:val="auto"/>
          <w:spacing w:val="10"/>
          <w:highlight w:val="none"/>
        </w:rPr>
        <w:t>由乙方以书面的形式送报甲方，由甲方扣除质保金</w:t>
      </w:r>
      <w:bookmarkEnd w:id="169"/>
      <w:r>
        <w:rPr>
          <w:rFonts w:hint="eastAsia" w:ascii="楷体_GB2312" w:hAnsi="宋体" w:eastAsia="楷体_GB2312"/>
          <w:color w:val="auto"/>
          <w:spacing w:val="10"/>
          <w:highlight w:val="none"/>
        </w:rPr>
        <w:t>1000元，如在首次违规后，仍继续施工的每发现一起扣除施工文明履约金2000元</w:t>
      </w:r>
      <w:r>
        <w:rPr>
          <w:rFonts w:hint="eastAsia" w:ascii="楷体_GB2312" w:eastAsia="楷体_GB2312"/>
          <w:outline/>
          <w:color w:val="auto"/>
          <w:highlight w:val="none"/>
          <w14:textOutline w14:w="9525" w14:cap="flat" w14:cmpd="sng" w14:algn="ctr">
            <w14:solidFill>
              <w14:srgbClr w14:val="000000"/>
            </w14:solidFill>
            <w14:prstDash w14:val="solid"/>
            <w14:round/>
          </w14:textOutline>
        </w:rPr>
        <w:t>。</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施工工人进场时间：每天早上8:00点后施工工人方可进场。</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施工工人清场时间：每晚18:00点前施工工人必须离开施工现场。</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施工材料进场时间：</w:t>
      </w:r>
    </w:p>
    <w:p>
      <w:pPr>
        <w:adjustRightInd w:val="0"/>
        <w:snapToGrid w:val="0"/>
        <w:spacing w:line="360" w:lineRule="auto"/>
        <w:ind w:firstLine="520" w:firstLineChars="200"/>
        <w:rPr>
          <w:rFonts w:ascii="楷体_GB2312" w:hAnsi="宋体" w:eastAsia="楷体_GB2312"/>
          <w:color w:val="auto"/>
          <w:spacing w:val="10"/>
          <w:highlight w:val="none"/>
        </w:rPr>
      </w:pPr>
      <w:r>
        <w:rPr>
          <w:rFonts w:hint="eastAsia" w:ascii="楷体_GB2312" w:hAnsi="宋体" w:eastAsia="楷体_GB2312"/>
          <w:color w:val="auto"/>
          <w:spacing w:val="10"/>
          <w:highlight w:val="none"/>
        </w:rPr>
        <w:t>3、</w:t>
      </w:r>
      <w:r>
        <w:rPr>
          <w:rFonts w:hint="eastAsia" w:ascii="楷体_GB2312" w:hAnsi="宋体" w:eastAsia="楷体_GB2312"/>
          <w:color w:val="auto"/>
          <w:highlight w:val="none"/>
        </w:rPr>
        <w:t>施工材料在进场前须提前告知物业服务中心，物业服务人员做好车辆引导工作，运送材料由物业服务中心指定线路并在制定区域内堆放材料，施工单位负责做好该区域的防火、防盗工作（地下室限高2米）。如发现施工材料乱堆乱放，</w:t>
      </w:r>
      <w:r>
        <w:rPr>
          <w:rFonts w:hint="eastAsia" w:ascii="楷体_GB2312" w:hAnsi="宋体" w:eastAsia="楷体_GB2312"/>
          <w:color w:val="auto"/>
          <w:spacing w:val="10"/>
          <w:highlight w:val="none"/>
        </w:rPr>
        <w:t>由乙方以书面的形式送报甲方，由甲方扣除质保金</w:t>
      </w:r>
      <w:r>
        <w:rPr>
          <w:rFonts w:hint="eastAsia" w:ascii="楷体_GB2312" w:hAnsi="宋体" w:eastAsia="楷体_GB2312"/>
          <w:color w:val="auto"/>
          <w:highlight w:val="none"/>
        </w:rPr>
        <w:t>500元，限期不进行整改的扣除1000元/次。</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4、由施工产生的垃圾必须在施工区域内进行堆放不得占用其他区域不得影响办公楼的工作和日常通行；施工单位产生的垃圾自行运输不得乱倒乱放，在运输过程中要保持封闭不得随意丢撒，并做到及时清运，如在物业服务乙方要求限期清运，而未清运</w:t>
      </w:r>
      <w:r>
        <w:rPr>
          <w:rFonts w:hint="eastAsia" w:ascii="楷体_GB2312" w:hAnsi="宋体" w:eastAsia="楷体_GB2312"/>
          <w:color w:val="auto"/>
          <w:spacing w:val="10"/>
          <w:highlight w:val="none"/>
        </w:rPr>
        <w:t>由乙方以书面的形式送报甲方，由甲方扣除质保金</w:t>
      </w:r>
      <w:r>
        <w:rPr>
          <w:rFonts w:hint="eastAsia" w:ascii="楷体_GB2312" w:hAnsi="宋体" w:eastAsia="楷体_GB2312"/>
          <w:color w:val="auto"/>
          <w:highlight w:val="none"/>
        </w:rPr>
        <w:t>每次扣除质保金1000元，如发现乱堆乱放、未能封闭清运的每次扣除质保金500元。不得把施工建筑垃圾倾倒在未施工区域每发现一次扣除质保金500元；不得把施工建筑材料倾倒到物业制定的业主装修垃圾堆放点，如发现每次扣除质保金500 元。</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三、施工人员及车俩管理</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1、施工单位所有施工人员、现场管理人员、施工现场及施工材料的进出必须接受物业公司的监督和管理。</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2、所有施工人员及管理人员凭证进入园区，一人一证，无证不得进入园区，进入园区后不得在非施工区域内逗留，违者</w:t>
      </w:r>
      <w:r>
        <w:rPr>
          <w:rFonts w:hint="eastAsia" w:ascii="楷体_GB2312" w:hAnsi="宋体" w:eastAsia="楷体_GB2312"/>
          <w:color w:val="auto"/>
          <w:spacing w:val="10"/>
          <w:highlight w:val="none"/>
        </w:rPr>
        <w:t>由乙方以书面的形式送报甲方，由甲方扣除质保金</w:t>
      </w:r>
      <w:r>
        <w:rPr>
          <w:rFonts w:hint="eastAsia" w:ascii="楷体_GB2312" w:hAnsi="宋体" w:eastAsia="楷体_GB2312"/>
          <w:color w:val="auto"/>
          <w:highlight w:val="none"/>
        </w:rPr>
        <w:t>200元，如同一人员发现三次在非工作区域逗留、闲逛，物业服务中心将有权禁止此人入内并对其所属的施工单位质保金1000元。</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3、施工单位需在进场前准备好所有在场施工人员及管理人员的身份证复印件及工作证，身份证复印件交于物业服务中心保存，工作证自进入园区开始佩戴，直至离开园区方能取下，没有工作证的人员物业服务中心有权一律禁止进入园区。</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4、各施工单位的工作证由施工单位自行制作，并加盖各自单位的公章，一人一证，证件上需包含持证人的如下基本信息，姓名、一寸证件照、所属单位，如发生丢失，立即至物业服务中心备案。如施工人员所持证件与本人不符，物业服务中心有权将持证人员进行劝离。</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5、并负责清理所产生的垃圾；如物业公司在发现有施工人员在园区内（含施工区域）随地大小便，每发现一次</w:t>
      </w:r>
      <w:r>
        <w:rPr>
          <w:rFonts w:hint="eastAsia" w:ascii="楷体_GB2312" w:hAnsi="宋体" w:eastAsia="楷体_GB2312"/>
          <w:color w:val="auto"/>
          <w:spacing w:val="10"/>
          <w:highlight w:val="none"/>
        </w:rPr>
        <w:t>由乙方以书面的形式送报甲方，由甲方</w:t>
      </w:r>
      <w:r>
        <w:rPr>
          <w:rFonts w:hint="eastAsia" w:ascii="楷体_GB2312" w:hAnsi="宋体" w:eastAsia="楷体_GB2312"/>
          <w:color w:val="auto"/>
          <w:highlight w:val="none"/>
        </w:rPr>
        <w:t>对其所属施工单位扣除</w:t>
      </w:r>
      <w:r>
        <w:rPr>
          <w:rFonts w:hint="eastAsia" w:ascii="楷体_GB2312" w:hAnsi="宋体" w:eastAsia="楷体_GB2312"/>
          <w:color w:val="auto"/>
          <w:spacing w:val="10"/>
          <w:highlight w:val="none"/>
        </w:rPr>
        <w:t>质保金</w:t>
      </w:r>
      <w:r>
        <w:rPr>
          <w:rFonts w:hint="eastAsia" w:ascii="楷体_GB2312" w:hAnsi="宋体" w:eastAsia="楷体_GB2312"/>
          <w:color w:val="auto"/>
          <w:highlight w:val="none"/>
        </w:rPr>
        <w:t>1000元。</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4、施工单位人员禁止在园区内进行烧饭、使用大功率电器等有安全隐患的行为，如物业公司发现，有权立即制止及没收工具</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5、施工单位人员的非货运车辆不得进入园区，非机动车需按照物业公司的指挥停放整齐，服务中心不负责看管。</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6、施工单位送货车辆进入园区时，需服从物业服务中心的统一管理（换证进入），施工材料一律在施工区域内装卸。</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四、施工用水用电</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1、施工单位施工前需联系物业服务中心进行对接，用电必须由物业服务中心指定地点进行接电并安装电表，不得私拉电线、未经物业公司允许私自用电，每发现一起</w:t>
      </w:r>
      <w:r>
        <w:rPr>
          <w:rFonts w:hint="eastAsia" w:ascii="楷体_GB2312" w:hAnsi="宋体" w:eastAsia="楷体_GB2312"/>
          <w:color w:val="auto"/>
          <w:spacing w:val="10"/>
          <w:highlight w:val="none"/>
        </w:rPr>
        <w:t>由乙方以书面的形式送报甲方，由甲方扣除质保金</w:t>
      </w:r>
      <w:r>
        <w:rPr>
          <w:rFonts w:hint="eastAsia" w:ascii="楷体_GB2312" w:hAnsi="宋体" w:eastAsia="楷体_GB2312"/>
          <w:color w:val="auto"/>
          <w:highlight w:val="none"/>
        </w:rPr>
        <w:t>2000元。</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2、施工单位用水需安装水表计量。严禁使用园区消防用水进行施工、冲洗或作他用，禁止在园区水系内进行洗涮等行为，一经发现</w:t>
      </w:r>
      <w:r>
        <w:rPr>
          <w:rFonts w:hint="eastAsia" w:ascii="楷体_GB2312" w:hAnsi="宋体" w:eastAsia="楷体_GB2312"/>
          <w:color w:val="auto"/>
          <w:spacing w:val="10"/>
          <w:highlight w:val="none"/>
        </w:rPr>
        <w:t>由乙方以书面的形式送报甲方，由甲方扣除质保金</w:t>
      </w:r>
      <w:r>
        <w:rPr>
          <w:rFonts w:hint="eastAsia" w:ascii="楷体_GB2312" w:hAnsi="宋体" w:eastAsia="楷体_GB2312"/>
          <w:color w:val="auto"/>
          <w:highlight w:val="none"/>
        </w:rPr>
        <w:t>200 元。</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3、施工单位应安排有电工操作证的人员，进行相应的用电操作，不得无证操作，并负责承担相应的用电安全管理工作及承担相应的管理责任。</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4、施工单位现场进行气割、电焊作业时必须注意安全，持证操作。配备必要的消防器材，严禁擅自取用园区现有消防器材，每发现</w:t>
      </w:r>
      <w:r>
        <w:rPr>
          <w:rFonts w:hint="eastAsia" w:ascii="楷体_GB2312" w:hAnsi="宋体" w:eastAsia="楷体_GB2312"/>
          <w:color w:val="auto"/>
          <w:spacing w:val="10"/>
          <w:highlight w:val="none"/>
        </w:rPr>
        <w:t>由乙方以书面的形式送报甲方，由甲方扣除质保金</w:t>
      </w:r>
      <w:r>
        <w:rPr>
          <w:rFonts w:hint="eastAsia" w:ascii="楷体_GB2312" w:hAnsi="宋体" w:eastAsia="楷体_GB2312"/>
          <w:color w:val="auto"/>
          <w:highlight w:val="none"/>
        </w:rPr>
        <w:t>1000元。</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五、安全管理</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1、丙方人员进场前，丙方应提前做好相应的安全施工的教育工作，并负责督促宣传丙方人员做好安全施工。</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2、施工区域丙方应采取有效的安全保障措施，避免出现安全事故，如因丙方原因未做好相应的防范及提醒工作，造成人员及财产损失 的由丙方全部承担。</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3，丙方施工期间如发生重大安全事故，除丙方全权承担相应的责任外，并扣除质保金10000元。</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4、丙方施工区域内的消防工作由丙方自行负责，并按照要求配置灭火器材。</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六、管理服务费用</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水电费采用预付费，电费每千瓦时   元，水费每立方   元。</w:t>
      </w:r>
    </w:p>
    <w:p>
      <w:pPr>
        <w:adjustRightInd w:val="0"/>
        <w:snapToGrid w:val="0"/>
        <w:spacing w:line="360" w:lineRule="auto"/>
        <w:ind w:firstLine="482" w:firstLineChars="200"/>
        <w:rPr>
          <w:rFonts w:ascii="楷体_GB2312" w:hAnsi="宋体" w:eastAsia="楷体_GB2312"/>
          <w:b/>
          <w:color w:val="auto"/>
          <w:highlight w:val="none"/>
        </w:rPr>
      </w:pPr>
      <w:r>
        <w:rPr>
          <w:rFonts w:hint="eastAsia" w:ascii="楷体_GB2312" w:hAnsi="宋体" w:eastAsia="楷体_GB2312"/>
          <w:b/>
          <w:color w:val="auto"/>
          <w:highlight w:val="none"/>
        </w:rPr>
        <w:t>七、其他</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1、施工期间，丙方应做好相应的成品保护工作，如造成了成品损坏应及时修复，未能修复的按照原价进行赔偿。</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2、本协议未尽管理事项，甲、乙双方有权视现场情况，以书面形式告知丙方，丙方应视为本协议补充部分遵守。</w:t>
      </w: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3、本协议一式三份，甲、乙、丙各执一份，甲、乙、丙三方应共同遵守，承担相应的法律责任。</w:t>
      </w:r>
    </w:p>
    <w:p>
      <w:pPr>
        <w:adjustRightInd w:val="0"/>
        <w:snapToGrid w:val="0"/>
        <w:spacing w:line="360" w:lineRule="auto"/>
        <w:ind w:firstLine="480" w:firstLineChars="200"/>
        <w:rPr>
          <w:rFonts w:ascii="楷体_GB2312" w:hAnsi="宋体" w:eastAsia="楷体_GB2312"/>
          <w:color w:val="auto"/>
          <w:highlight w:val="none"/>
        </w:rPr>
      </w:pP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甲方（业主/委托代理人）：                年    月    日</w:t>
      </w:r>
    </w:p>
    <w:p>
      <w:pPr>
        <w:adjustRightInd w:val="0"/>
        <w:snapToGrid w:val="0"/>
        <w:spacing w:line="360" w:lineRule="auto"/>
        <w:ind w:firstLine="480" w:firstLineChars="200"/>
        <w:rPr>
          <w:rFonts w:ascii="楷体_GB2312" w:hAnsi="宋体" w:eastAsia="楷体_GB2312"/>
          <w:color w:val="auto"/>
          <w:highlight w:val="none"/>
        </w:rPr>
      </w:pPr>
    </w:p>
    <w:p>
      <w:pPr>
        <w:adjustRightInd w:val="0"/>
        <w:snapToGrid w:val="0"/>
        <w:spacing w:line="360" w:lineRule="auto"/>
        <w:ind w:firstLine="480" w:firstLineChars="200"/>
        <w:rPr>
          <w:rFonts w:ascii="楷体_GB2312" w:hAnsi="宋体" w:eastAsia="楷体_GB2312"/>
          <w:color w:val="auto"/>
          <w:highlight w:val="none"/>
        </w:rPr>
      </w:pPr>
      <w:r>
        <w:rPr>
          <w:rFonts w:hint="eastAsia" w:ascii="楷体_GB2312" w:hAnsi="宋体" w:eastAsia="楷体_GB2312"/>
          <w:color w:val="auto"/>
          <w:highlight w:val="none"/>
        </w:rPr>
        <w:t>乙方（物业公司）：                       年    月    日</w:t>
      </w:r>
    </w:p>
    <w:p>
      <w:pPr>
        <w:adjustRightInd w:val="0"/>
        <w:snapToGrid w:val="0"/>
        <w:spacing w:line="360" w:lineRule="auto"/>
        <w:ind w:firstLine="480" w:firstLineChars="200"/>
        <w:rPr>
          <w:rFonts w:ascii="楷体_GB2312" w:hAnsi="宋体" w:eastAsia="楷体_GB2312"/>
          <w:color w:val="auto"/>
          <w:highlight w:val="none"/>
        </w:rPr>
      </w:pPr>
    </w:p>
    <w:p>
      <w:pPr>
        <w:adjustRightInd w:val="0"/>
        <w:snapToGrid w:val="0"/>
        <w:spacing w:line="360" w:lineRule="auto"/>
        <w:ind w:firstLine="480" w:firstLineChars="200"/>
        <w:rPr>
          <w:rStyle w:val="60"/>
          <w:rFonts w:ascii="楷体_GB2312" w:hAnsi="宋体" w:eastAsia="楷体_GB2312"/>
          <w:b w:val="0"/>
          <w:bCs w:val="0"/>
          <w:color w:val="auto"/>
          <w:highlight w:val="none"/>
        </w:rPr>
      </w:pPr>
      <w:r>
        <w:rPr>
          <w:rFonts w:hint="eastAsia" w:ascii="楷体_GB2312" w:hAnsi="宋体" w:eastAsia="楷体_GB2312"/>
          <w:color w:val="auto"/>
          <w:highlight w:val="none"/>
        </w:rPr>
        <w:t xml:space="preserve">丙方（委托代理人）：              </w:t>
      </w:r>
      <w:r>
        <w:rPr>
          <w:rFonts w:ascii="楷体_GB2312" w:hAnsi="宋体" w:eastAsia="楷体_GB2312"/>
          <w:color w:val="auto"/>
          <w:highlight w:val="none"/>
        </w:rPr>
        <w:t xml:space="preserve">     </w:t>
      </w:r>
      <w:r>
        <w:rPr>
          <w:rFonts w:hint="eastAsia" w:ascii="楷体_GB2312" w:hAnsi="宋体" w:eastAsia="楷体_GB2312"/>
          <w:color w:val="auto"/>
          <w:highlight w:val="none"/>
        </w:rPr>
        <w:t xml:space="preserve">  年    月    日</w:t>
      </w:r>
    </w:p>
    <w:p>
      <w:pPr>
        <w:pStyle w:val="3"/>
        <w:spacing w:before="480" w:after="260" w:line="500" w:lineRule="exact"/>
        <w:jc w:val="center"/>
        <w:rPr>
          <w:rFonts w:hAnsi="宋体"/>
          <w:b w:val="0"/>
          <w:bCs w:val="0"/>
          <w:color w:val="auto"/>
          <w:highlight w:val="none"/>
        </w:rPr>
      </w:pPr>
      <w:bookmarkStart w:id="170" w:name="_Toc492637218"/>
      <w:bookmarkStart w:id="171" w:name="_Toc1529"/>
      <w:bookmarkStart w:id="172" w:name="_Toc32587"/>
      <w:bookmarkStart w:id="173" w:name="_Toc8649"/>
      <w:bookmarkStart w:id="174" w:name="_Toc20029"/>
      <w:r>
        <w:rPr>
          <w:rFonts w:hint="eastAsia" w:hAnsi="宋体"/>
          <w:color w:val="auto"/>
          <w:highlight w:val="none"/>
        </w:rPr>
        <w:br w:type="page"/>
      </w:r>
      <w:bookmarkStart w:id="175" w:name="_Toc22940"/>
      <w:r>
        <w:rPr>
          <w:rFonts w:hint="eastAsia" w:hAnsi="宋体"/>
          <w:color w:val="auto"/>
          <w:highlight w:val="none"/>
        </w:rPr>
        <w:t>七、响应文件格式</w:t>
      </w:r>
      <w:bookmarkEnd w:id="170"/>
      <w:bookmarkEnd w:id="171"/>
      <w:bookmarkEnd w:id="172"/>
      <w:bookmarkEnd w:id="173"/>
      <w:bookmarkEnd w:id="174"/>
      <w:bookmarkEnd w:id="175"/>
    </w:p>
    <w:p>
      <w:pPr>
        <w:spacing w:line="500" w:lineRule="exact"/>
        <w:jc w:val="center"/>
        <w:rPr>
          <w:rFonts w:hAnsi="宋体"/>
          <w:b/>
          <w:color w:val="auto"/>
          <w:sz w:val="32"/>
          <w:szCs w:val="24"/>
          <w:highlight w:val="none"/>
        </w:rPr>
      </w:pPr>
    </w:p>
    <w:p>
      <w:pPr>
        <w:spacing w:line="900" w:lineRule="exact"/>
        <w:jc w:val="center"/>
        <w:rPr>
          <w:rFonts w:hAnsi="宋体"/>
          <w:b/>
          <w:color w:val="auto"/>
          <w:sz w:val="52"/>
          <w:szCs w:val="21"/>
          <w:highlight w:val="none"/>
        </w:rPr>
      </w:pPr>
      <w:r>
        <w:rPr>
          <w:rFonts w:hint="eastAsia" w:hAnsi="宋体"/>
          <w:b/>
          <w:color w:val="auto"/>
          <w:sz w:val="52"/>
          <w:szCs w:val="21"/>
          <w:highlight w:val="none"/>
        </w:rPr>
        <w:t>中水淮河规划设计研究有限公司员工活动中心项目</w:t>
      </w:r>
    </w:p>
    <w:p>
      <w:pPr>
        <w:spacing w:line="900" w:lineRule="exact"/>
        <w:jc w:val="center"/>
        <w:rPr>
          <w:rFonts w:hAnsi="宋体"/>
          <w:b/>
          <w:color w:val="auto"/>
          <w:sz w:val="72"/>
          <w:szCs w:val="24"/>
          <w:highlight w:val="none"/>
        </w:rPr>
      </w:pPr>
    </w:p>
    <w:p>
      <w:pPr>
        <w:spacing w:line="900" w:lineRule="exact"/>
        <w:jc w:val="center"/>
        <w:rPr>
          <w:rFonts w:hAnsi="宋体"/>
          <w:b/>
          <w:color w:val="auto"/>
          <w:sz w:val="72"/>
          <w:szCs w:val="24"/>
          <w:highlight w:val="none"/>
        </w:rPr>
      </w:pPr>
      <w:r>
        <w:rPr>
          <w:rFonts w:hint="eastAsia" w:hAnsi="宋体"/>
          <w:b/>
          <w:color w:val="auto"/>
          <w:sz w:val="72"/>
          <w:szCs w:val="24"/>
          <w:highlight w:val="none"/>
        </w:rPr>
        <w:t>响</w:t>
      </w:r>
    </w:p>
    <w:p>
      <w:pPr>
        <w:spacing w:line="900" w:lineRule="exact"/>
        <w:jc w:val="center"/>
        <w:rPr>
          <w:rFonts w:hAnsi="宋体"/>
          <w:b/>
          <w:color w:val="auto"/>
          <w:sz w:val="72"/>
          <w:szCs w:val="24"/>
          <w:highlight w:val="none"/>
        </w:rPr>
      </w:pPr>
      <w:r>
        <w:rPr>
          <w:rFonts w:hint="eastAsia" w:hAnsi="宋体"/>
          <w:b/>
          <w:color w:val="auto"/>
          <w:sz w:val="72"/>
          <w:szCs w:val="24"/>
          <w:highlight w:val="none"/>
        </w:rPr>
        <w:t>应</w:t>
      </w:r>
    </w:p>
    <w:p>
      <w:pPr>
        <w:spacing w:line="900" w:lineRule="exact"/>
        <w:jc w:val="center"/>
        <w:rPr>
          <w:rFonts w:hAnsi="宋体"/>
          <w:b/>
          <w:color w:val="auto"/>
          <w:sz w:val="72"/>
          <w:szCs w:val="24"/>
          <w:highlight w:val="none"/>
        </w:rPr>
      </w:pPr>
      <w:r>
        <w:rPr>
          <w:rFonts w:hint="eastAsia" w:hAnsi="宋体"/>
          <w:b/>
          <w:color w:val="auto"/>
          <w:sz w:val="72"/>
          <w:szCs w:val="24"/>
          <w:highlight w:val="none"/>
        </w:rPr>
        <w:t>文</w:t>
      </w:r>
    </w:p>
    <w:p>
      <w:pPr>
        <w:jc w:val="center"/>
        <w:rPr>
          <w:rFonts w:hAnsi="宋体"/>
          <w:b/>
          <w:color w:val="auto"/>
          <w:sz w:val="72"/>
          <w:szCs w:val="24"/>
          <w:highlight w:val="none"/>
        </w:rPr>
      </w:pPr>
      <w:r>
        <w:rPr>
          <w:rFonts w:hint="eastAsia" w:hAnsi="宋体"/>
          <w:b/>
          <w:color w:val="auto"/>
          <w:sz w:val="72"/>
          <w:szCs w:val="24"/>
          <w:highlight w:val="none"/>
        </w:rPr>
        <w:t>件</w:t>
      </w:r>
    </w:p>
    <w:p>
      <w:pPr>
        <w:spacing w:after="156" w:afterLines="50"/>
        <w:jc w:val="center"/>
        <w:rPr>
          <w:rFonts w:hAnsi="宋体"/>
          <w:b/>
          <w:color w:val="auto"/>
          <w:sz w:val="72"/>
          <w:szCs w:val="24"/>
          <w:highlight w:val="none"/>
        </w:rPr>
      </w:pPr>
    </w:p>
    <w:p>
      <w:pPr>
        <w:spacing w:after="156" w:afterLines="50" w:line="500" w:lineRule="exact"/>
        <w:jc w:val="center"/>
        <w:rPr>
          <w:rFonts w:hAnsi="宋体"/>
          <w:b/>
          <w:color w:val="auto"/>
          <w:sz w:val="72"/>
          <w:szCs w:val="24"/>
          <w:highlight w:val="none"/>
        </w:rPr>
      </w:pPr>
    </w:p>
    <w:p>
      <w:pPr>
        <w:spacing w:after="156" w:afterLines="50" w:line="500" w:lineRule="exact"/>
        <w:jc w:val="center"/>
        <w:rPr>
          <w:rFonts w:hAnsi="宋体"/>
          <w:b/>
          <w:color w:val="auto"/>
          <w:sz w:val="72"/>
          <w:szCs w:val="24"/>
          <w:highlight w:val="none"/>
        </w:rPr>
      </w:pPr>
    </w:p>
    <w:p>
      <w:pPr>
        <w:spacing w:after="156" w:afterLines="50" w:line="500" w:lineRule="exact"/>
        <w:rPr>
          <w:rFonts w:hAnsi="宋体"/>
          <w:b/>
          <w:color w:val="auto"/>
          <w:sz w:val="32"/>
          <w:szCs w:val="24"/>
          <w:highlight w:val="none"/>
          <w:u w:val="single"/>
        </w:rPr>
      </w:pPr>
      <w:r>
        <w:rPr>
          <w:rFonts w:hint="eastAsia" w:hAnsi="宋体"/>
          <w:b/>
          <w:color w:val="auto"/>
          <w:sz w:val="30"/>
          <w:szCs w:val="24"/>
          <w:highlight w:val="none"/>
        </w:rPr>
        <w:t xml:space="preserve">            </w:t>
      </w:r>
      <w:r>
        <w:rPr>
          <w:rFonts w:hint="eastAsia" w:hAnsi="宋体"/>
          <w:b/>
          <w:color w:val="auto"/>
          <w:sz w:val="32"/>
          <w:szCs w:val="24"/>
          <w:highlight w:val="none"/>
        </w:rPr>
        <w:t>供应商：</w:t>
      </w:r>
      <w:r>
        <w:rPr>
          <w:rFonts w:hint="eastAsia" w:hAnsi="宋体"/>
          <w:b/>
          <w:color w:val="auto"/>
          <w:sz w:val="32"/>
          <w:szCs w:val="24"/>
          <w:highlight w:val="none"/>
          <w:u w:val="single"/>
        </w:rPr>
        <w:t xml:space="preserve">                          </w:t>
      </w:r>
    </w:p>
    <w:p>
      <w:pPr>
        <w:spacing w:after="156" w:afterLines="50" w:line="500" w:lineRule="exact"/>
        <w:jc w:val="center"/>
        <w:rPr>
          <w:rFonts w:hAnsi="宋体"/>
          <w:color w:val="auto"/>
          <w:szCs w:val="24"/>
          <w:highlight w:val="none"/>
        </w:rPr>
      </w:pPr>
      <w:r>
        <w:rPr>
          <w:rFonts w:hint="eastAsia" w:hAnsi="宋体"/>
          <w:b/>
          <w:color w:val="auto"/>
          <w:sz w:val="32"/>
          <w:szCs w:val="24"/>
          <w:highlight w:val="none"/>
          <w:u w:val="single"/>
        </w:rPr>
        <w:t xml:space="preserve">    </w:t>
      </w:r>
      <w:r>
        <w:rPr>
          <w:rFonts w:hint="eastAsia" w:hAnsi="宋体"/>
          <w:b/>
          <w:color w:val="auto"/>
          <w:sz w:val="32"/>
          <w:szCs w:val="24"/>
          <w:highlight w:val="none"/>
        </w:rPr>
        <w:t>年</w:t>
      </w:r>
      <w:r>
        <w:rPr>
          <w:rFonts w:hint="eastAsia" w:hAnsi="宋体"/>
          <w:b/>
          <w:color w:val="auto"/>
          <w:sz w:val="32"/>
          <w:szCs w:val="24"/>
          <w:highlight w:val="none"/>
          <w:u w:val="single"/>
        </w:rPr>
        <w:t xml:space="preserve">  </w:t>
      </w:r>
      <w:r>
        <w:rPr>
          <w:rFonts w:hint="eastAsia" w:hAnsi="宋体"/>
          <w:b/>
          <w:color w:val="auto"/>
          <w:sz w:val="32"/>
          <w:szCs w:val="24"/>
          <w:highlight w:val="none"/>
        </w:rPr>
        <w:t>月</w:t>
      </w:r>
      <w:r>
        <w:rPr>
          <w:rFonts w:hint="eastAsia" w:hAnsi="宋体"/>
          <w:b/>
          <w:color w:val="auto"/>
          <w:sz w:val="32"/>
          <w:szCs w:val="24"/>
          <w:highlight w:val="none"/>
          <w:u w:val="single"/>
        </w:rPr>
        <w:t xml:space="preserve">  </w:t>
      </w:r>
      <w:r>
        <w:rPr>
          <w:rFonts w:hint="eastAsia" w:hAnsi="宋体"/>
          <w:b/>
          <w:color w:val="auto"/>
          <w:sz w:val="32"/>
          <w:szCs w:val="24"/>
          <w:highlight w:val="none"/>
        </w:rPr>
        <w:t>日</w:t>
      </w:r>
    </w:p>
    <w:p>
      <w:pPr>
        <w:pStyle w:val="15"/>
        <w:spacing w:before="20" w:after="20" w:line="360" w:lineRule="auto"/>
        <w:ind w:firstLine="0" w:firstLineChars="0"/>
        <w:jc w:val="left"/>
        <w:outlineLvl w:val="1"/>
        <w:rPr>
          <w:rFonts w:hAnsi="宋体" w:cs="宋体"/>
          <w:b/>
          <w:color w:val="auto"/>
          <w:highlight w:val="none"/>
        </w:rPr>
      </w:pPr>
      <w:r>
        <w:rPr>
          <w:rFonts w:hAnsi="宋体"/>
          <w:bCs/>
          <w:color w:val="auto"/>
          <w:sz w:val="28"/>
          <w:highlight w:val="none"/>
          <w:lang w:val="zh-CN"/>
        </w:rPr>
        <w:br w:type="page"/>
      </w:r>
      <w:bookmarkStart w:id="176" w:name="_Toc438648619"/>
      <w:bookmarkStart w:id="177" w:name="_Toc8670"/>
      <w:bookmarkStart w:id="178" w:name="_Toc32042"/>
      <w:bookmarkStart w:id="179" w:name="_Toc11049"/>
      <w:bookmarkStart w:id="180" w:name="_Toc2573"/>
      <w:r>
        <w:rPr>
          <w:rFonts w:hint="eastAsia" w:hAnsi="宋体" w:cs="宋体"/>
          <w:b/>
          <w:color w:val="auto"/>
          <w:highlight w:val="none"/>
        </w:rPr>
        <w:t>附件</w:t>
      </w:r>
      <w:bookmarkEnd w:id="176"/>
      <w:r>
        <w:rPr>
          <w:rFonts w:hint="eastAsia" w:hAnsi="宋体" w:cs="宋体"/>
          <w:b/>
          <w:color w:val="auto"/>
          <w:highlight w:val="none"/>
        </w:rPr>
        <w:t>一</w:t>
      </w:r>
      <w:bookmarkEnd w:id="177"/>
      <w:bookmarkEnd w:id="178"/>
      <w:bookmarkEnd w:id="179"/>
      <w:bookmarkEnd w:id="180"/>
    </w:p>
    <w:p>
      <w:pPr>
        <w:spacing w:line="360" w:lineRule="auto"/>
        <w:jc w:val="center"/>
        <w:rPr>
          <w:rFonts w:hAnsi="宋体" w:cs="宋体"/>
          <w:b/>
          <w:bCs/>
          <w:color w:val="auto"/>
          <w:szCs w:val="24"/>
          <w:highlight w:val="none"/>
        </w:rPr>
      </w:pPr>
    </w:p>
    <w:p>
      <w:pPr>
        <w:spacing w:line="360" w:lineRule="auto"/>
        <w:jc w:val="center"/>
        <w:rPr>
          <w:rFonts w:hAnsi="宋体" w:cs="宋体"/>
          <w:color w:val="auto"/>
          <w:szCs w:val="24"/>
          <w:highlight w:val="none"/>
        </w:rPr>
      </w:pPr>
      <w:r>
        <w:rPr>
          <w:rFonts w:hint="eastAsia" w:hAnsi="宋体" w:cs="宋体"/>
          <w:b/>
          <w:bCs/>
          <w:color w:val="auto"/>
          <w:szCs w:val="24"/>
          <w:highlight w:val="none"/>
        </w:rPr>
        <w:t>供应商综合情况简介</w:t>
      </w: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500" w:lineRule="exact"/>
        <w:jc w:val="center"/>
        <w:rPr>
          <w:rFonts w:hAnsi="宋体" w:cs="宋体"/>
          <w:color w:val="auto"/>
          <w:szCs w:val="24"/>
          <w:highlight w:val="none"/>
        </w:rPr>
      </w:pPr>
      <w:r>
        <w:rPr>
          <w:rFonts w:hint="eastAsia" w:hAnsi="宋体" w:cs="宋体"/>
          <w:color w:val="auto"/>
          <w:szCs w:val="24"/>
          <w:highlight w:val="none"/>
        </w:rPr>
        <w:t>(供应商可自行制作格式)</w:t>
      </w:r>
    </w:p>
    <w:p>
      <w:pPr>
        <w:spacing w:line="500" w:lineRule="exact"/>
        <w:jc w:val="center"/>
        <w:rPr>
          <w:rFonts w:hAnsi="宋体" w:cs="宋体"/>
          <w:color w:val="auto"/>
          <w:szCs w:val="24"/>
          <w:highlight w:val="none"/>
        </w:rPr>
      </w:pPr>
    </w:p>
    <w:p>
      <w:pPr>
        <w:outlineLvl w:val="1"/>
        <w:rPr>
          <w:rFonts w:hAnsi="宋体" w:cs="宋体"/>
          <w:b/>
          <w:color w:val="auto"/>
          <w:szCs w:val="24"/>
          <w:highlight w:val="none"/>
        </w:rPr>
      </w:pPr>
      <w:bookmarkStart w:id="181" w:name="_Toc438648620"/>
      <w:r>
        <w:rPr>
          <w:rFonts w:hint="eastAsia" w:hAnsi="宋体" w:cs="宋体"/>
          <w:b/>
          <w:color w:val="auto"/>
          <w:szCs w:val="24"/>
          <w:highlight w:val="none"/>
        </w:rPr>
        <w:br w:type="page"/>
      </w:r>
      <w:bookmarkEnd w:id="181"/>
      <w:bookmarkStart w:id="182" w:name="_Toc13431"/>
      <w:bookmarkStart w:id="183" w:name="_Toc23611"/>
      <w:bookmarkStart w:id="184" w:name="_Toc16945"/>
      <w:bookmarkStart w:id="185" w:name="_Toc2637"/>
      <w:r>
        <w:rPr>
          <w:rFonts w:hint="eastAsia" w:hAnsi="宋体" w:cs="宋体"/>
          <w:b/>
          <w:color w:val="auto"/>
          <w:szCs w:val="24"/>
          <w:highlight w:val="none"/>
        </w:rPr>
        <w:t>附件二</w:t>
      </w:r>
      <w:bookmarkEnd w:id="182"/>
      <w:bookmarkEnd w:id="183"/>
      <w:bookmarkEnd w:id="184"/>
      <w:bookmarkEnd w:id="185"/>
    </w:p>
    <w:p>
      <w:pPr>
        <w:spacing w:before="156" w:beforeLines="50" w:after="156" w:afterLines="50" w:line="360" w:lineRule="auto"/>
        <w:jc w:val="center"/>
        <w:rPr>
          <w:rFonts w:hAnsi="宋体" w:cs="宋体"/>
          <w:b/>
          <w:color w:val="auto"/>
          <w:szCs w:val="24"/>
          <w:highlight w:val="none"/>
        </w:rPr>
      </w:pPr>
      <w:r>
        <w:rPr>
          <w:rFonts w:hint="eastAsia" w:hAnsi="宋体" w:cs="宋体"/>
          <w:b/>
          <w:color w:val="auto"/>
          <w:szCs w:val="24"/>
          <w:highlight w:val="none"/>
        </w:rPr>
        <w:t>询比响应函</w:t>
      </w:r>
    </w:p>
    <w:p>
      <w:pPr>
        <w:tabs>
          <w:tab w:val="center" w:pos="4819"/>
          <w:tab w:val="left" w:pos="7020"/>
        </w:tabs>
        <w:adjustRightInd w:val="0"/>
        <w:snapToGrid w:val="0"/>
        <w:spacing w:line="360" w:lineRule="auto"/>
        <w:jc w:val="left"/>
        <w:rPr>
          <w:color w:val="auto"/>
          <w:szCs w:val="24"/>
          <w:highlight w:val="none"/>
        </w:rPr>
      </w:pPr>
      <w:r>
        <w:rPr>
          <w:color w:val="auto"/>
          <w:szCs w:val="24"/>
          <w:highlight w:val="none"/>
        </w:rPr>
        <w:t>致</w:t>
      </w:r>
      <w:r>
        <w:rPr>
          <w:rFonts w:hint="eastAsia"/>
          <w:color w:val="auto"/>
          <w:szCs w:val="24"/>
          <w:highlight w:val="none"/>
          <w:u w:val="single"/>
        </w:rPr>
        <w:t xml:space="preserve"> </w:t>
      </w:r>
      <w:r>
        <w:rPr>
          <w:rFonts w:hint="eastAsia" w:hAnsi="宋体"/>
          <w:color w:val="auto"/>
          <w:highlight w:val="none"/>
          <w:u w:val="single"/>
        </w:rPr>
        <w:t>（ 采购人名称 ）</w:t>
      </w:r>
      <w:r>
        <w:rPr>
          <w:rFonts w:hint="eastAsia"/>
          <w:color w:val="auto"/>
          <w:szCs w:val="24"/>
          <w:highlight w:val="none"/>
          <w:u w:val="single"/>
        </w:rPr>
        <w:t xml:space="preserve"> </w:t>
      </w:r>
      <w:r>
        <w:rPr>
          <w:color w:val="auto"/>
          <w:szCs w:val="24"/>
          <w:highlight w:val="none"/>
        </w:rPr>
        <w:t>：</w:t>
      </w:r>
    </w:p>
    <w:p>
      <w:pPr>
        <w:spacing w:before="156" w:beforeLines="50" w:line="360" w:lineRule="auto"/>
        <w:ind w:firstLine="480" w:firstLineChars="200"/>
        <w:rPr>
          <w:rFonts w:hAnsi="宋体"/>
          <w:color w:val="auto"/>
          <w:szCs w:val="24"/>
          <w:highlight w:val="none"/>
        </w:rPr>
      </w:pPr>
      <w:r>
        <w:rPr>
          <w:rFonts w:hint="eastAsia" w:hAnsi="宋体"/>
          <w:color w:val="auto"/>
          <w:szCs w:val="24"/>
          <w:highlight w:val="none"/>
        </w:rPr>
        <w:t>根据贵方“</w:t>
      </w:r>
      <w:r>
        <w:rPr>
          <w:rFonts w:hint="eastAsia" w:hAnsi="宋体"/>
          <w:color w:val="auto"/>
          <w:szCs w:val="24"/>
          <w:highlight w:val="none"/>
          <w:u w:val="single"/>
        </w:rPr>
        <w:t>中水淮河规划设计研究有限公司员工活动中心项目</w:t>
      </w:r>
      <w:r>
        <w:rPr>
          <w:rFonts w:hint="eastAsia" w:hAnsi="宋体"/>
          <w:color w:val="auto"/>
          <w:szCs w:val="24"/>
          <w:highlight w:val="none"/>
        </w:rPr>
        <w:t>”的询比采购文件，正式授权</w:t>
      </w:r>
      <w:r>
        <w:rPr>
          <w:rFonts w:hint="eastAsia" w:hAnsi="宋体"/>
          <w:color w:val="auto"/>
          <w:szCs w:val="24"/>
          <w:highlight w:val="none"/>
          <w:u w:val="single"/>
        </w:rPr>
        <w:t xml:space="preserve">                   </w:t>
      </w:r>
      <w:r>
        <w:rPr>
          <w:rFonts w:hint="eastAsia" w:hAnsi="宋体"/>
          <w:color w:val="auto"/>
          <w:szCs w:val="24"/>
          <w:highlight w:val="none"/>
        </w:rPr>
        <w:t>（姓名）代表供应商参加该项目的询比活动。我方已详细审查全部询比采购文件和有关附件，据此我方郑重声明以下诸点，并对之负相应的法律责任。据此函，我方兹宣布同意如下：</w:t>
      </w:r>
    </w:p>
    <w:p>
      <w:pPr>
        <w:spacing w:line="360" w:lineRule="auto"/>
        <w:ind w:left="0" w:leftChars="0" w:firstLine="480" w:firstLineChars="200"/>
        <w:rPr>
          <w:rFonts w:hAnsi="宋体"/>
          <w:color w:val="auto"/>
          <w:szCs w:val="24"/>
          <w:highlight w:val="none"/>
        </w:rPr>
      </w:pPr>
      <w:r>
        <w:rPr>
          <w:rFonts w:hint="eastAsia" w:hAnsi="宋体"/>
          <w:color w:val="auto"/>
          <w:szCs w:val="24"/>
          <w:highlight w:val="none"/>
        </w:rPr>
        <w:t>1、按询比采购文件规定</w:t>
      </w:r>
      <w:r>
        <w:rPr>
          <w:rFonts w:hint="eastAsia" w:hAnsi="宋体" w:cs="SSJ-PK7482000002d-Identity-H"/>
          <w:color w:val="auto"/>
          <w:highlight w:val="none"/>
        </w:rPr>
        <w:t>实施和完成承包工程</w:t>
      </w:r>
      <w:r>
        <w:rPr>
          <w:rFonts w:hint="eastAsia" w:hAnsi="宋体" w:cs="H-SS9-PK74820000032-Identity-H"/>
          <w:color w:val="auto"/>
          <w:highlight w:val="none"/>
        </w:rPr>
        <w:t>，</w:t>
      </w:r>
      <w:r>
        <w:rPr>
          <w:rFonts w:hint="eastAsia" w:hAnsi="宋体"/>
          <w:color w:val="auto"/>
          <w:szCs w:val="24"/>
          <w:highlight w:val="none"/>
        </w:rPr>
        <w:t>投标总价为人民币（大写）</w:t>
      </w:r>
      <w:r>
        <w:rPr>
          <w:rFonts w:hint="eastAsia" w:hAnsi="宋体"/>
          <w:color w:val="auto"/>
          <w:szCs w:val="24"/>
          <w:highlight w:val="none"/>
          <w:u w:val="single"/>
          <w:lang w:val="en-US" w:eastAsia="zh-CN"/>
        </w:rPr>
        <w:t xml:space="preserve">       </w:t>
      </w:r>
      <w:r>
        <w:rPr>
          <w:rFonts w:hint="eastAsia" w:hAnsi="宋体"/>
          <w:color w:val="auto"/>
          <w:szCs w:val="24"/>
          <w:highlight w:val="none"/>
          <w:u w:val="single"/>
        </w:rPr>
        <w:t xml:space="preserve">      </w:t>
      </w:r>
      <w:r>
        <w:rPr>
          <w:rFonts w:hint="eastAsia" w:hAnsi="宋体"/>
          <w:color w:val="auto"/>
          <w:szCs w:val="24"/>
          <w:highlight w:val="none"/>
        </w:rPr>
        <w:t>元</w:t>
      </w:r>
      <w:r>
        <w:rPr>
          <w:rFonts w:hint="eastAsia" w:hAnsi="宋体"/>
          <w:color w:val="auto"/>
          <w:szCs w:val="24"/>
          <w:highlight w:val="none"/>
          <w:lang w:val="en-US" w:eastAsia="zh-CN"/>
        </w:rPr>
        <w:t xml:space="preserve"> </w:t>
      </w:r>
      <w:r>
        <w:rPr>
          <w:rFonts w:hint="eastAsia" w:hAnsi="宋体" w:cs="H-SS9-PK74820000032-Identity-H"/>
          <w:color w:val="auto"/>
          <w:highlight w:val="none"/>
        </w:rPr>
        <w:t>（</w:t>
      </w:r>
      <w:r>
        <w:rPr>
          <w:rFonts w:hint="eastAsia" w:hAnsi="宋体" w:cs="E-BZ9-PK7483cf-Identity-H"/>
          <w:color w:val="auto"/>
          <w:highlight w:val="none"/>
        </w:rPr>
        <w:t>￥</w:t>
      </w:r>
      <w:r>
        <w:rPr>
          <w:rFonts w:hint="eastAsia" w:hAnsi="宋体" w:cs="E-BZ9-PK7483cf-Identity-H"/>
          <w:color w:val="auto"/>
          <w:highlight w:val="none"/>
          <w:u w:val="single"/>
        </w:rPr>
        <w:t xml:space="preserve">         </w:t>
      </w:r>
      <w:r>
        <w:rPr>
          <w:rFonts w:hint="eastAsia" w:hAnsi="宋体" w:cs="H-SS9-PK74820000032-Identity-H"/>
          <w:color w:val="auto"/>
          <w:highlight w:val="none"/>
        </w:rPr>
        <w:t>），工期</w:t>
      </w:r>
      <w:r>
        <w:rPr>
          <w:rFonts w:hint="eastAsia" w:hAnsi="宋体" w:cs="H-SS9-PK74820000032-Identity-H"/>
          <w:color w:val="auto"/>
          <w:highlight w:val="none"/>
          <w:u w:val="single"/>
        </w:rPr>
        <w:t xml:space="preserve">         </w:t>
      </w:r>
      <w:r>
        <w:rPr>
          <w:rFonts w:hint="eastAsia" w:hAnsi="宋体" w:cs="H-SS9-PK74820000032-Identity-H"/>
          <w:color w:val="auto"/>
          <w:highlight w:val="none"/>
        </w:rPr>
        <w:t>日历天</w:t>
      </w:r>
      <w:r>
        <w:rPr>
          <w:rFonts w:hint="eastAsia" w:hAnsi="宋体"/>
          <w:color w:val="auto"/>
          <w:szCs w:val="24"/>
          <w:highlight w:val="none"/>
        </w:rPr>
        <w:t>。</w:t>
      </w:r>
      <w:r>
        <w:rPr>
          <w:rFonts w:hint="eastAsia" w:hAnsi="宋体"/>
          <w:color w:val="auto"/>
          <w:highlight w:val="none"/>
        </w:rPr>
        <w:t>如我公司为成交人，我公司承诺愿意按</w:t>
      </w:r>
      <w:r>
        <w:rPr>
          <w:rFonts w:hint="eastAsia" w:hAnsi="宋体"/>
          <w:color w:val="auto"/>
          <w:szCs w:val="24"/>
          <w:highlight w:val="none"/>
        </w:rPr>
        <w:t>询比采购文件</w:t>
      </w:r>
      <w:r>
        <w:rPr>
          <w:rFonts w:hint="eastAsia" w:hAnsi="宋体"/>
          <w:color w:val="auto"/>
          <w:highlight w:val="none"/>
        </w:rPr>
        <w:t>规定交纳履约保证金。</w:t>
      </w:r>
    </w:p>
    <w:p>
      <w:pPr>
        <w:spacing w:line="360" w:lineRule="auto"/>
        <w:ind w:firstLine="480" w:firstLineChars="200"/>
        <w:rPr>
          <w:rFonts w:hAnsi="宋体"/>
          <w:color w:val="auto"/>
          <w:szCs w:val="24"/>
          <w:highlight w:val="none"/>
        </w:rPr>
      </w:pPr>
      <w:r>
        <w:rPr>
          <w:rFonts w:hint="eastAsia" w:hAnsi="宋体"/>
          <w:color w:val="auto"/>
          <w:szCs w:val="24"/>
          <w:highlight w:val="none"/>
        </w:rPr>
        <w:t>2、我方根据询比采购文件的规定，严格履行合同的责任和义务,</w:t>
      </w:r>
      <w:r>
        <w:rPr>
          <w:rFonts w:hint="eastAsia" w:hAnsi="宋体" w:cs="SSJ-PK7482000002d-Identity-H"/>
          <w:color w:val="auto"/>
          <w:highlight w:val="none"/>
        </w:rPr>
        <w:t>实施和完成承包工程</w:t>
      </w:r>
      <w:r>
        <w:rPr>
          <w:rFonts w:hint="eastAsia" w:hAnsi="宋体"/>
          <w:color w:val="auto"/>
          <w:szCs w:val="24"/>
          <w:highlight w:val="none"/>
        </w:rPr>
        <w:t>，并通过采购人验收。</w:t>
      </w:r>
    </w:p>
    <w:p>
      <w:pPr>
        <w:spacing w:line="360" w:lineRule="auto"/>
        <w:ind w:firstLine="480" w:firstLineChars="200"/>
        <w:rPr>
          <w:rFonts w:hAnsi="宋体"/>
          <w:color w:val="auto"/>
          <w:szCs w:val="24"/>
          <w:highlight w:val="none"/>
        </w:rPr>
      </w:pPr>
      <w:r>
        <w:rPr>
          <w:rFonts w:hint="eastAsia" w:hAnsi="宋体"/>
          <w:color w:val="auto"/>
          <w:szCs w:val="24"/>
          <w:highlight w:val="none"/>
        </w:rPr>
        <w:t>3、我方已详细审核全部询比采购文件，</w:t>
      </w:r>
      <w:r>
        <w:rPr>
          <w:rFonts w:hint="eastAsia" w:hAnsi="宋体"/>
          <w:color w:val="auto"/>
          <w:highlight w:val="none"/>
        </w:rPr>
        <w:t>包括</w:t>
      </w:r>
      <w:r>
        <w:rPr>
          <w:rFonts w:hint="eastAsia" w:hAnsi="宋体"/>
          <w:color w:val="auto"/>
          <w:szCs w:val="24"/>
          <w:highlight w:val="none"/>
        </w:rPr>
        <w:t>询比采购文件的</w:t>
      </w:r>
      <w:r>
        <w:rPr>
          <w:rFonts w:hint="eastAsia" w:hAnsi="宋体"/>
          <w:color w:val="auto"/>
          <w:highlight w:val="none"/>
        </w:rPr>
        <w:t>的答疑、澄清、变更或补充（如有），参考资料及有关附件，并对各项条款（包括</w:t>
      </w:r>
      <w:r>
        <w:rPr>
          <w:rFonts w:hint="eastAsia" w:hAnsi="宋体"/>
          <w:color w:val="auto"/>
          <w:szCs w:val="24"/>
          <w:highlight w:val="none"/>
        </w:rPr>
        <w:t>询比时间</w:t>
      </w:r>
      <w:r>
        <w:rPr>
          <w:rFonts w:hint="eastAsia" w:hAnsi="宋体"/>
          <w:color w:val="auto"/>
          <w:highlight w:val="none"/>
        </w:rPr>
        <w:t>）、规定及要求均无异议。</w:t>
      </w:r>
      <w:r>
        <w:rPr>
          <w:rFonts w:hint="eastAsia" w:hAnsi="宋体"/>
          <w:color w:val="auto"/>
          <w:szCs w:val="24"/>
          <w:highlight w:val="none"/>
        </w:rPr>
        <w:t>我方知道必须放弃提出含糊不清或误解的问题的权利。</w:t>
      </w:r>
    </w:p>
    <w:p>
      <w:pPr>
        <w:spacing w:line="360" w:lineRule="auto"/>
        <w:ind w:firstLine="480" w:firstLineChars="200"/>
        <w:rPr>
          <w:rFonts w:hAnsi="宋体"/>
          <w:color w:val="auto"/>
          <w:szCs w:val="24"/>
          <w:highlight w:val="none"/>
        </w:rPr>
      </w:pPr>
      <w:r>
        <w:rPr>
          <w:rFonts w:hint="eastAsia" w:hAnsi="宋体"/>
          <w:color w:val="auto"/>
          <w:szCs w:val="24"/>
          <w:highlight w:val="none"/>
        </w:rPr>
        <w:t>4、我方同意从须知前须知附表中规定的询比日期起遵循本响应文件，并在询比有效期之内均具有约束力。</w:t>
      </w:r>
    </w:p>
    <w:p>
      <w:pPr>
        <w:spacing w:line="360" w:lineRule="auto"/>
        <w:ind w:firstLine="480" w:firstLineChars="200"/>
        <w:rPr>
          <w:rFonts w:hAnsi="宋体"/>
          <w:color w:val="auto"/>
          <w:szCs w:val="24"/>
          <w:highlight w:val="none"/>
        </w:rPr>
      </w:pPr>
      <w:r>
        <w:rPr>
          <w:rFonts w:hint="eastAsia" w:hAnsi="宋体"/>
          <w:color w:val="auto"/>
          <w:szCs w:val="24"/>
          <w:highlight w:val="none"/>
        </w:rPr>
        <w:t>5、如果在询比后规定的有效期内撤回报价，我方愿意赔偿由此给采购人造成的相关一切损失。</w:t>
      </w:r>
    </w:p>
    <w:p>
      <w:pPr>
        <w:spacing w:line="360" w:lineRule="auto"/>
        <w:ind w:firstLine="480" w:firstLineChars="200"/>
        <w:rPr>
          <w:rFonts w:hAnsi="宋体"/>
          <w:color w:val="auto"/>
          <w:szCs w:val="24"/>
          <w:highlight w:val="none"/>
        </w:rPr>
      </w:pPr>
      <w:r>
        <w:rPr>
          <w:rFonts w:hint="eastAsia" w:hAnsi="宋体"/>
          <w:color w:val="auto"/>
          <w:szCs w:val="24"/>
          <w:highlight w:val="none"/>
        </w:rPr>
        <w:t>6、我方完全理解贵方不一定接受最低报价的投标。</w:t>
      </w:r>
    </w:p>
    <w:p>
      <w:pPr>
        <w:spacing w:line="360" w:lineRule="auto"/>
        <w:ind w:firstLine="480" w:firstLineChars="200"/>
        <w:rPr>
          <w:rFonts w:hAnsi="宋体"/>
          <w:color w:val="auto"/>
          <w:szCs w:val="24"/>
          <w:highlight w:val="none"/>
        </w:rPr>
      </w:pPr>
      <w:r>
        <w:rPr>
          <w:rFonts w:hint="eastAsia" w:hAnsi="宋体"/>
          <w:color w:val="auto"/>
          <w:szCs w:val="24"/>
          <w:highlight w:val="none"/>
        </w:rPr>
        <w:t>7、我方同意询比采购文件规定的付款方式。</w:t>
      </w:r>
    </w:p>
    <w:p>
      <w:pPr>
        <w:pStyle w:val="2"/>
        <w:rPr>
          <w:color w:val="auto"/>
          <w:highlight w:val="none"/>
        </w:rPr>
      </w:pPr>
    </w:p>
    <w:p>
      <w:pPr>
        <w:spacing w:line="360" w:lineRule="auto"/>
        <w:ind w:firstLine="480" w:firstLineChars="200"/>
        <w:rPr>
          <w:color w:val="auto"/>
          <w:szCs w:val="24"/>
          <w:highlight w:val="none"/>
        </w:rPr>
      </w:pPr>
      <w:r>
        <w:rPr>
          <w:rFonts w:hint="eastAsia"/>
          <w:color w:val="auto"/>
          <w:szCs w:val="24"/>
          <w:highlight w:val="none"/>
        </w:rPr>
        <w:t>供应商名称</w:t>
      </w:r>
      <w:r>
        <w:rPr>
          <w:rFonts w:hint="eastAsia"/>
          <w:color w:val="auto"/>
          <w:szCs w:val="24"/>
          <w:highlight w:val="none"/>
          <w:u w:val="single"/>
        </w:rPr>
        <w:t xml:space="preserve">：                                </w:t>
      </w:r>
      <w:r>
        <w:rPr>
          <w:rFonts w:hint="eastAsia"/>
          <w:color w:val="auto"/>
          <w:szCs w:val="24"/>
          <w:highlight w:val="none"/>
        </w:rPr>
        <w:t>（公    章）</w:t>
      </w:r>
    </w:p>
    <w:p>
      <w:pPr>
        <w:spacing w:line="360" w:lineRule="auto"/>
        <w:ind w:firstLine="480" w:firstLineChars="200"/>
        <w:rPr>
          <w:color w:val="auto"/>
          <w:szCs w:val="24"/>
          <w:highlight w:val="none"/>
          <w:u w:val="single"/>
        </w:rPr>
      </w:pPr>
      <w:r>
        <w:rPr>
          <w:rFonts w:hint="eastAsia"/>
          <w:color w:val="auto"/>
          <w:szCs w:val="24"/>
          <w:highlight w:val="none"/>
        </w:rPr>
        <w:t>供应商法定代表人或授权代理人（签字）：</w:t>
      </w:r>
      <w:r>
        <w:rPr>
          <w:rFonts w:hint="eastAsia"/>
          <w:color w:val="auto"/>
          <w:szCs w:val="24"/>
          <w:highlight w:val="none"/>
          <w:u w:val="single"/>
        </w:rPr>
        <w:t xml:space="preserve">                  </w:t>
      </w:r>
    </w:p>
    <w:p>
      <w:pPr>
        <w:spacing w:line="360" w:lineRule="auto"/>
        <w:ind w:firstLine="480" w:firstLineChars="200"/>
        <w:rPr>
          <w:color w:val="auto"/>
          <w:szCs w:val="24"/>
          <w:highlight w:val="none"/>
        </w:rPr>
      </w:pPr>
      <w:r>
        <w:rPr>
          <w:rFonts w:hint="eastAsia"/>
          <w:color w:val="auto"/>
          <w:szCs w:val="24"/>
          <w:highlight w:val="none"/>
        </w:rPr>
        <w:t>日   期：</w:t>
      </w:r>
      <w:r>
        <w:rPr>
          <w:rFonts w:hint="eastAsia"/>
          <w:color w:val="auto"/>
          <w:szCs w:val="24"/>
          <w:highlight w:val="none"/>
          <w:u w:val="single"/>
        </w:rPr>
        <w:t xml:space="preserve">                     </w:t>
      </w:r>
      <w:r>
        <w:rPr>
          <w:rFonts w:hint="eastAsia"/>
          <w:color w:val="auto"/>
          <w:szCs w:val="24"/>
          <w:highlight w:val="none"/>
        </w:rPr>
        <w:t>通讯地址：</w:t>
      </w:r>
      <w:r>
        <w:rPr>
          <w:rFonts w:hint="eastAsia"/>
          <w:color w:val="auto"/>
          <w:szCs w:val="24"/>
          <w:highlight w:val="none"/>
          <w:u w:val="single"/>
        </w:rPr>
        <w:t xml:space="preserve">                   </w:t>
      </w:r>
      <w:r>
        <w:rPr>
          <w:rFonts w:hint="eastAsia"/>
          <w:color w:val="auto"/>
          <w:szCs w:val="24"/>
          <w:highlight w:val="none"/>
        </w:rPr>
        <w:t xml:space="preserve">                  </w:t>
      </w:r>
    </w:p>
    <w:p>
      <w:pPr>
        <w:spacing w:line="360" w:lineRule="auto"/>
        <w:ind w:firstLine="480" w:firstLineChars="200"/>
        <w:rPr>
          <w:color w:val="auto"/>
          <w:szCs w:val="24"/>
          <w:highlight w:val="none"/>
          <w:u w:val="single"/>
        </w:rPr>
      </w:pPr>
      <w:r>
        <w:rPr>
          <w:rFonts w:hint="eastAsia"/>
          <w:color w:val="auto"/>
          <w:szCs w:val="24"/>
          <w:highlight w:val="none"/>
        </w:rPr>
        <w:t>电   话：</w:t>
      </w:r>
      <w:r>
        <w:rPr>
          <w:rFonts w:hint="eastAsia"/>
          <w:color w:val="auto"/>
          <w:szCs w:val="24"/>
          <w:highlight w:val="none"/>
          <w:u w:val="single"/>
        </w:rPr>
        <w:t xml:space="preserve">                     </w:t>
      </w:r>
      <w:r>
        <w:rPr>
          <w:rFonts w:hint="eastAsia"/>
          <w:color w:val="auto"/>
          <w:szCs w:val="24"/>
          <w:highlight w:val="none"/>
        </w:rPr>
        <w:t>传    真：</w:t>
      </w:r>
      <w:r>
        <w:rPr>
          <w:rFonts w:hint="eastAsia"/>
          <w:color w:val="auto"/>
          <w:szCs w:val="24"/>
          <w:highlight w:val="none"/>
          <w:u w:val="single"/>
        </w:rPr>
        <w:t xml:space="preserve">                    </w:t>
      </w:r>
    </w:p>
    <w:p>
      <w:pPr>
        <w:adjustRightInd w:val="0"/>
        <w:snapToGrid w:val="0"/>
        <w:spacing w:line="360" w:lineRule="auto"/>
        <w:ind w:firstLine="480" w:firstLineChars="200"/>
        <w:rPr>
          <w:color w:val="auto"/>
          <w:sz w:val="28"/>
          <w:szCs w:val="28"/>
          <w:highlight w:val="none"/>
        </w:rPr>
      </w:pPr>
      <w:r>
        <w:rPr>
          <w:rFonts w:hint="eastAsia"/>
          <w:color w:val="auto"/>
          <w:szCs w:val="24"/>
          <w:highlight w:val="none"/>
        </w:rPr>
        <w:t>日   期：</w:t>
      </w:r>
      <w:r>
        <w:rPr>
          <w:color w:val="auto"/>
          <w:szCs w:val="24"/>
          <w:highlight w:val="none"/>
        </w:rPr>
        <w:t>年　　月　　日</w:t>
      </w:r>
    </w:p>
    <w:p>
      <w:pPr>
        <w:spacing w:line="360" w:lineRule="auto"/>
        <w:outlineLvl w:val="1"/>
        <w:rPr>
          <w:rFonts w:hAnsi="宋体" w:cs="宋体"/>
          <w:b/>
          <w:color w:val="auto"/>
          <w:szCs w:val="24"/>
          <w:highlight w:val="none"/>
        </w:rPr>
      </w:pPr>
      <w:r>
        <w:rPr>
          <w:rFonts w:hint="eastAsia" w:hAnsi="宋体" w:cs="宋体"/>
          <w:color w:val="auto"/>
          <w:szCs w:val="24"/>
          <w:highlight w:val="none"/>
        </w:rPr>
        <w:br w:type="page"/>
      </w:r>
      <w:bookmarkStart w:id="186" w:name="_Toc438648621"/>
      <w:bookmarkStart w:id="187" w:name="_Toc5000"/>
      <w:bookmarkStart w:id="188" w:name="_Toc12276"/>
      <w:bookmarkStart w:id="189" w:name="_Toc75"/>
      <w:bookmarkStart w:id="190" w:name="_Toc18116"/>
      <w:r>
        <w:rPr>
          <w:rFonts w:hint="eastAsia" w:hAnsi="宋体" w:cs="宋体"/>
          <w:b/>
          <w:color w:val="auto"/>
          <w:szCs w:val="24"/>
          <w:highlight w:val="none"/>
        </w:rPr>
        <w:t>附件</w:t>
      </w:r>
      <w:bookmarkEnd w:id="186"/>
      <w:r>
        <w:rPr>
          <w:rFonts w:hint="eastAsia" w:hAnsi="宋体" w:cs="宋体"/>
          <w:b/>
          <w:color w:val="auto"/>
          <w:szCs w:val="24"/>
          <w:highlight w:val="none"/>
        </w:rPr>
        <w:t>三</w:t>
      </w:r>
      <w:bookmarkEnd w:id="187"/>
      <w:bookmarkEnd w:id="188"/>
      <w:bookmarkEnd w:id="189"/>
      <w:bookmarkEnd w:id="190"/>
    </w:p>
    <w:p>
      <w:pPr>
        <w:autoSpaceDE w:val="0"/>
        <w:autoSpaceDN w:val="0"/>
        <w:adjustRightInd w:val="0"/>
        <w:spacing w:line="360" w:lineRule="auto"/>
        <w:jc w:val="center"/>
        <w:rPr>
          <w:rFonts w:hAnsi="宋体" w:cs="宋体"/>
          <w:b/>
          <w:color w:val="auto"/>
          <w:szCs w:val="24"/>
          <w:highlight w:val="none"/>
        </w:rPr>
      </w:pPr>
    </w:p>
    <w:p>
      <w:pPr>
        <w:autoSpaceDE w:val="0"/>
        <w:autoSpaceDN w:val="0"/>
        <w:adjustRightInd w:val="0"/>
        <w:spacing w:line="360" w:lineRule="auto"/>
        <w:jc w:val="center"/>
        <w:rPr>
          <w:rFonts w:hAnsi="宋体" w:cs="宋体"/>
          <w:b/>
          <w:color w:val="auto"/>
          <w:szCs w:val="24"/>
          <w:highlight w:val="none"/>
          <w:lang w:val="zh-CN"/>
        </w:rPr>
      </w:pPr>
      <w:r>
        <w:rPr>
          <w:rFonts w:hint="eastAsia" w:hAnsi="宋体" w:cs="宋体"/>
          <w:b/>
          <w:color w:val="auto"/>
          <w:szCs w:val="24"/>
          <w:highlight w:val="none"/>
          <w:lang w:val="zh-CN"/>
        </w:rPr>
        <w:t>法定代表人身份证明书</w:t>
      </w:r>
    </w:p>
    <w:p>
      <w:pPr>
        <w:autoSpaceDE w:val="0"/>
        <w:autoSpaceDN w:val="0"/>
        <w:adjustRightInd w:val="0"/>
        <w:spacing w:line="360" w:lineRule="auto"/>
        <w:jc w:val="center"/>
        <w:rPr>
          <w:rFonts w:hAnsi="宋体" w:cs="宋体"/>
          <w:b/>
          <w:color w:val="auto"/>
          <w:szCs w:val="24"/>
          <w:highlight w:val="none"/>
          <w:lang w:val="zh-CN"/>
        </w:rPr>
      </w:pPr>
    </w:p>
    <w:p>
      <w:pPr>
        <w:spacing w:before="62" w:beforeLines="20" w:after="62" w:afterLines="20" w:line="540" w:lineRule="exact"/>
        <w:ind w:firstLine="610"/>
        <w:rPr>
          <w:rFonts w:hAnsi="宋体" w:cs="宋体"/>
          <w:color w:val="auto"/>
          <w:szCs w:val="24"/>
          <w:highlight w:val="none"/>
        </w:rPr>
      </w:pPr>
      <w:r>
        <w:rPr>
          <w:rFonts w:hint="eastAsia" w:hAnsi="宋体" w:cs="宋体"/>
          <w:color w:val="auto"/>
          <w:szCs w:val="24"/>
          <w:highlight w:val="none"/>
        </w:rPr>
        <w:t>单位名称：</w:t>
      </w:r>
      <w:r>
        <w:rPr>
          <w:rFonts w:hint="eastAsia" w:hAnsi="宋体" w:cs="宋体"/>
          <w:color w:val="auto"/>
          <w:szCs w:val="24"/>
          <w:highlight w:val="none"/>
          <w:u w:val="single"/>
        </w:rPr>
        <w:t xml:space="preserve">                                           </w:t>
      </w:r>
    </w:p>
    <w:p>
      <w:pPr>
        <w:spacing w:before="62" w:beforeLines="20" w:after="62" w:afterLines="20" w:line="540" w:lineRule="exact"/>
        <w:ind w:firstLine="610"/>
        <w:rPr>
          <w:rFonts w:hAnsi="宋体" w:cs="宋体"/>
          <w:color w:val="auto"/>
          <w:szCs w:val="24"/>
          <w:highlight w:val="none"/>
          <w:u w:val="single"/>
        </w:rPr>
      </w:pPr>
      <w:r>
        <w:rPr>
          <w:rFonts w:hint="eastAsia" w:hAnsi="宋体" w:cs="宋体"/>
          <w:color w:val="auto"/>
          <w:szCs w:val="24"/>
          <w:highlight w:val="none"/>
        </w:rPr>
        <w:t>单位性质：</w:t>
      </w:r>
      <w:r>
        <w:rPr>
          <w:rFonts w:hint="eastAsia" w:hAnsi="宋体" w:cs="宋体"/>
          <w:color w:val="auto"/>
          <w:szCs w:val="24"/>
          <w:highlight w:val="none"/>
          <w:u w:val="single"/>
        </w:rPr>
        <w:t xml:space="preserve">                                           </w:t>
      </w:r>
    </w:p>
    <w:p>
      <w:pPr>
        <w:spacing w:before="62" w:beforeLines="20" w:after="62" w:afterLines="20" w:line="540" w:lineRule="exact"/>
        <w:ind w:firstLine="610"/>
        <w:rPr>
          <w:rFonts w:hAnsi="宋体" w:cs="宋体"/>
          <w:color w:val="auto"/>
          <w:szCs w:val="24"/>
          <w:highlight w:val="none"/>
        </w:rPr>
      </w:pPr>
      <w:r>
        <w:rPr>
          <w:rFonts w:hint="eastAsia" w:hAnsi="宋体" w:cs="宋体"/>
          <w:color w:val="auto"/>
          <w:szCs w:val="24"/>
          <w:highlight w:val="none"/>
        </w:rPr>
        <w:t>地    址：</w:t>
      </w:r>
      <w:r>
        <w:rPr>
          <w:rFonts w:hint="eastAsia" w:hAnsi="宋体" w:cs="宋体"/>
          <w:color w:val="auto"/>
          <w:szCs w:val="24"/>
          <w:highlight w:val="none"/>
          <w:u w:val="single"/>
        </w:rPr>
        <w:t xml:space="preserve">                                           </w:t>
      </w:r>
    </w:p>
    <w:p>
      <w:pPr>
        <w:spacing w:before="62" w:beforeLines="20" w:after="62" w:afterLines="20" w:line="540" w:lineRule="exact"/>
        <w:ind w:firstLine="610"/>
        <w:rPr>
          <w:rFonts w:hAnsi="宋体" w:cs="宋体"/>
          <w:color w:val="auto"/>
          <w:szCs w:val="24"/>
          <w:highlight w:val="none"/>
        </w:rPr>
      </w:pPr>
      <w:r>
        <w:rPr>
          <w:rFonts w:hint="eastAsia" w:hAnsi="宋体" w:cs="宋体"/>
          <w:color w:val="auto"/>
          <w:szCs w:val="24"/>
          <w:highlight w:val="none"/>
        </w:rPr>
        <w:t>成立时间：</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年</w:t>
      </w:r>
      <w:r>
        <w:rPr>
          <w:rFonts w:hint="eastAsia" w:hAnsi="宋体" w:cs="宋体"/>
          <w:color w:val="auto"/>
          <w:szCs w:val="24"/>
          <w:highlight w:val="none"/>
          <w:u w:val="single"/>
        </w:rPr>
        <w:t xml:space="preserve">         </w:t>
      </w:r>
      <w:r>
        <w:rPr>
          <w:rFonts w:hint="eastAsia" w:hAnsi="宋体" w:cs="宋体"/>
          <w:color w:val="auto"/>
          <w:szCs w:val="24"/>
          <w:highlight w:val="none"/>
        </w:rPr>
        <w:t>月</w:t>
      </w:r>
      <w:r>
        <w:rPr>
          <w:rFonts w:hint="eastAsia" w:hAnsi="宋体" w:cs="宋体"/>
          <w:color w:val="auto"/>
          <w:szCs w:val="24"/>
          <w:highlight w:val="none"/>
          <w:u w:val="single"/>
        </w:rPr>
        <w:t xml:space="preserve">        </w:t>
      </w:r>
      <w:r>
        <w:rPr>
          <w:rFonts w:hint="eastAsia" w:hAnsi="宋体" w:cs="宋体"/>
          <w:color w:val="auto"/>
          <w:szCs w:val="24"/>
          <w:highlight w:val="none"/>
        </w:rPr>
        <w:t>日</w:t>
      </w:r>
    </w:p>
    <w:p>
      <w:pPr>
        <w:spacing w:before="62" w:beforeLines="20" w:after="62" w:afterLines="20" w:line="540" w:lineRule="exact"/>
        <w:ind w:firstLine="610"/>
        <w:rPr>
          <w:rFonts w:hAnsi="宋体" w:cs="宋体"/>
          <w:color w:val="auto"/>
          <w:szCs w:val="24"/>
          <w:highlight w:val="none"/>
        </w:rPr>
      </w:pPr>
      <w:r>
        <w:rPr>
          <w:rFonts w:hint="eastAsia" w:hAnsi="宋体" w:cs="宋体"/>
          <w:color w:val="auto"/>
          <w:szCs w:val="24"/>
          <w:highlight w:val="none"/>
        </w:rPr>
        <w:t>经营期限：</w:t>
      </w:r>
      <w:r>
        <w:rPr>
          <w:rFonts w:hint="eastAsia" w:hAnsi="宋体" w:cs="宋体"/>
          <w:color w:val="auto"/>
          <w:szCs w:val="24"/>
          <w:highlight w:val="none"/>
          <w:u w:val="single"/>
        </w:rPr>
        <w:t xml:space="preserve">                                           </w:t>
      </w:r>
    </w:p>
    <w:p>
      <w:pPr>
        <w:spacing w:before="62" w:beforeLines="20" w:after="62" w:afterLines="20" w:line="540" w:lineRule="exact"/>
        <w:ind w:firstLine="610"/>
        <w:rPr>
          <w:rFonts w:hAnsi="宋体" w:cs="宋体"/>
          <w:color w:val="auto"/>
          <w:szCs w:val="24"/>
          <w:highlight w:val="none"/>
          <w:u w:val="single"/>
        </w:rPr>
      </w:pPr>
      <w:r>
        <w:rPr>
          <w:rFonts w:hint="eastAsia" w:hAnsi="宋体" w:cs="宋体"/>
          <w:color w:val="auto"/>
          <w:szCs w:val="24"/>
          <w:highlight w:val="none"/>
        </w:rPr>
        <w:t>姓    名：</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性别：</w:t>
      </w:r>
      <w:r>
        <w:rPr>
          <w:rFonts w:hint="eastAsia" w:hAnsi="宋体" w:cs="宋体"/>
          <w:color w:val="auto"/>
          <w:szCs w:val="24"/>
          <w:highlight w:val="none"/>
          <w:u w:val="single"/>
        </w:rPr>
        <w:t xml:space="preserve">                  </w:t>
      </w:r>
    </w:p>
    <w:p>
      <w:pPr>
        <w:spacing w:before="62" w:beforeLines="20" w:after="62" w:afterLines="20" w:line="540" w:lineRule="exact"/>
        <w:ind w:firstLine="610"/>
        <w:rPr>
          <w:rFonts w:hAnsi="宋体" w:cs="宋体"/>
          <w:color w:val="auto"/>
          <w:szCs w:val="24"/>
          <w:highlight w:val="none"/>
          <w:u w:val="single"/>
        </w:rPr>
      </w:pPr>
      <w:r>
        <w:rPr>
          <w:rFonts w:hint="eastAsia" w:hAnsi="宋体" w:cs="宋体"/>
          <w:color w:val="auto"/>
          <w:szCs w:val="24"/>
          <w:highlight w:val="none"/>
        </w:rPr>
        <w:t>年    龄：</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职务：</w:t>
      </w:r>
      <w:r>
        <w:rPr>
          <w:rFonts w:hint="eastAsia" w:hAnsi="宋体" w:cs="宋体"/>
          <w:color w:val="auto"/>
          <w:szCs w:val="24"/>
          <w:highlight w:val="none"/>
          <w:u w:val="single"/>
        </w:rPr>
        <w:t xml:space="preserve">                  </w:t>
      </w:r>
    </w:p>
    <w:p>
      <w:pPr>
        <w:spacing w:before="62" w:beforeLines="20" w:after="62" w:afterLines="20" w:line="540" w:lineRule="exact"/>
        <w:ind w:firstLine="610"/>
        <w:rPr>
          <w:rFonts w:hAnsi="宋体" w:cs="宋体"/>
          <w:color w:val="auto"/>
          <w:szCs w:val="24"/>
          <w:highlight w:val="none"/>
        </w:rPr>
      </w:pPr>
      <w:r>
        <w:rPr>
          <w:rFonts w:hint="eastAsia" w:hAnsi="宋体" w:cs="宋体"/>
          <w:color w:val="auto"/>
          <w:szCs w:val="24"/>
          <w:highlight w:val="none"/>
          <w:u w:val="single"/>
        </w:rPr>
        <w:t xml:space="preserve">        </w:t>
      </w:r>
      <w:r>
        <w:rPr>
          <w:rFonts w:hint="eastAsia" w:hAnsi="宋体" w:cs="宋体"/>
          <w:color w:val="auto"/>
          <w:szCs w:val="24"/>
          <w:highlight w:val="none"/>
        </w:rPr>
        <w:t>系</w:t>
      </w:r>
      <w:r>
        <w:rPr>
          <w:rFonts w:hint="eastAsia" w:hAnsi="宋体" w:cs="宋体"/>
          <w:color w:val="auto"/>
          <w:szCs w:val="24"/>
          <w:highlight w:val="none"/>
          <w:u w:val="single"/>
        </w:rPr>
        <w:t xml:space="preserve">     （供应商单位名称）      </w:t>
      </w:r>
      <w:r>
        <w:rPr>
          <w:rFonts w:hint="eastAsia" w:hAnsi="宋体" w:cs="宋体"/>
          <w:color w:val="auto"/>
          <w:szCs w:val="24"/>
          <w:highlight w:val="none"/>
        </w:rPr>
        <w:t xml:space="preserve"> 的法定代表人。</w:t>
      </w:r>
    </w:p>
    <w:p>
      <w:pPr>
        <w:spacing w:before="62" w:beforeLines="20" w:after="62" w:afterLines="20" w:line="540" w:lineRule="exact"/>
        <w:ind w:firstLine="610"/>
        <w:rPr>
          <w:rFonts w:hAnsi="宋体" w:cs="宋体"/>
          <w:color w:val="auto"/>
          <w:szCs w:val="24"/>
          <w:highlight w:val="none"/>
        </w:rPr>
      </w:pPr>
    </w:p>
    <w:p>
      <w:pPr>
        <w:pStyle w:val="24"/>
        <w:spacing w:before="62" w:beforeLines="20" w:after="62" w:afterLines="20" w:line="54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pPr>
        <w:tabs>
          <w:tab w:val="left" w:pos="720"/>
          <w:tab w:val="left" w:pos="900"/>
        </w:tabs>
        <w:spacing w:before="62" w:beforeLines="20" w:after="62" w:afterLines="20" w:line="540" w:lineRule="exact"/>
        <w:ind w:firstLine="480" w:firstLineChars="200"/>
        <w:rPr>
          <w:rFonts w:hAnsi="宋体" w:cs="宋体"/>
          <w:color w:val="auto"/>
          <w:szCs w:val="24"/>
          <w:highlight w:val="none"/>
        </w:rPr>
      </w:pPr>
    </w:p>
    <w:p>
      <w:pPr>
        <w:tabs>
          <w:tab w:val="left" w:pos="720"/>
          <w:tab w:val="left" w:pos="900"/>
        </w:tabs>
        <w:spacing w:before="62" w:beforeLines="20" w:after="62" w:afterLines="20" w:line="540" w:lineRule="exact"/>
        <w:ind w:firstLine="480" w:firstLineChars="200"/>
        <w:rPr>
          <w:rFonts w:hAnsi="宋体" w:cs="宋体"/>
          <w:color w:val="auto"/>
          <w:szCs w:val="24"/>
          <w:highlight w:val="none"/>
        </w:rPr>
      </w:pPr>
    </w:p>
    <w:p>
      <w:pPr>
        <w:tabs>
          <w:tab w:val="left" w:pos="720"/>
          <w:tab w:val="left" w:pos="900"/>
        </w:tabs>
        <w:spacing w:before="62" w:beforeLines="20" w:after="62" w:afterLines="20" w:line="540" w:lineRule="exact"/>
        <w:ind w:firstLine="4560" w:firstLineChars="1900"/>
        <w:rPr>
          <w:rFonts w:hAnsi="宋体" w:cs="宋体"/>
          <w:color w:val="auto"/>
          <w:szCs w:val="24"/>
          <w:highlight w:val="none"/>
        </w:rPr>
      </w:pPr>
    </w:p>
    <w:p>
      <w:pPr>
        <w:tabs>
          <w:tab w:val="left" w:pos="720"/>
          <w:tab w:val="left" w:pos="900"/>
        </w:tabs>
        <w:spacing w:before="62" w:beforeLines="20" w:after="62" w:afterLines="20" w:line="540" w:lineRule="exact"/>
        <w:ind w:firstLine="3840" w:firstLineChars="1600"/>
        <w:rPr>
          <w:rFonts w:hAnsi="宋体" w:cs="宋体"/>
          <w:color w:val="auto"/>
          <w:szCs w:val="24"/>
          <w:highlight w:val="none"/>
        </w:rPr>
      </w:pPr>
      <w:r>
        <w:rPr>
          <w:rFonts w:hint="eastAsia" w:hAnsi="宋体" w:cs="宋体"/>
          <w:color w:val="auto"/>
          <w:szCs w:val="24"/>
          <w:highlight w:val="none"/>
        </w:rPr>
        <w:t>供应商：</w:t>
      </w:r>
      <w:r>
        <w:rPr>
          <w:rFonts w:hint="eastAsia" w:hAnsi="宋体" w:cs="宋体"/>
          <w:color w:val="auto"/>
          <w:szCs w:val="24"/>
          <w:highlight w:val="none"/>
          <w:u w:val="single"/>
        </w:rPr>
        <w:t xml:space="preserve">            （盖公章）</w:t>
      </w:r>
    </w:p>
    <w:p>
      <w:pPr>
        <w:spacing w:before="62" w:beforeLines="20" w:after="62" w:afterLines="20" w:line="540" w:lineRule="exact"/>
        <w:ind w:firstLine="3840" w:firstLineChars="1600"/>
        <w:rPr>
          <w:rFonts w:hAnsi="宋体" w:cs="宋体"/>
          <w:color w:val="auto"/>
          <w:szCs w:val="24"/>
          <w:highlight w:val="none"/>
        </w:rPr>
      </w:pPr>
      <w:r>
        <w:rPr>
          <w:rFonts w:hint="eastAsia" w:hAnsi="宋体" w:cs="宋体"/>
          <w:color w:val="auto"/>
          <w:szCs w:val="24"/>
          <w:highlight w:val="none"/>
        </w:rPr>
        <w:t>日  期：</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w:t>
      </w:r>
      <w:r>
        <w:rPr>
          <w:rFonts w:hint="eastAsia" w:hAnsi="宋体" w:cs="宋体"/>
          <w:color w:val="auto"/>
          <w:szCs w:val="24"/>
          <w:highlight w:val="none"/>
        </w:rPr>
        <w:t>月</w:t>
      </w:r>
      <w:r>
        <w:rPr>
          <w:rFonts w:hint="eastAsia" w:hAnsi="宋体" w:cs="宋体"/>
          <w:color w:val="auto"/>
          <w:szCs w:val="24"/>
          <w:highlight w:val="none"/>
          <w:u w:val="single"/>
        </w:rPr>
        <w:t xml:space="preserve">     </w:t>
      </w:r>
      <w:r>
        <w:rPr>
          <w:rFonts w:hint="eastAsia" w:hAnsi="宋体" w:cs="宋体"/>
          <w:color w:val="auto"/>
          <w:szCs w:val="24"/>
          <w:highlight w:val="none"/>
        </w:rPr>
        <w:t>日</w:t>
      </w:r>
    </w:p>
    <w:p>
      <w:pPr>
        <w:spacing w:before="62" w:beforeLines="20" w:after="62" w:afterLines="20" w:line="540" w:lineRule="exact"/>
        <w:outlineLvl w:val="1"/>
        <w:rPr>
          <w:rFonts w:hAnsi="宋体" w:cs="宋体"/>
          <w:b/>
          <w:color w:val="auto"/>
          <w:szCs w:val="24"/>
          <w:highlight w:val="none"/>
        </w:rPr>
      </w:pPr>
      <w:r>
        <w:rPr>
          <w:rFonts w:hAnsi="宋体" w:cs="宋体"/>
          <w:color w:val="auto"/>
          <w:szCs w:val="24"/>
          <w:highlight w:val="none"/>
        </w:rPr>
        <w:br w:type="page"/>
      </w:r>
      <w:bookmarkStart w:id="191" w:name="_Toc19913"/>
      <w:bookmarkStart w:id="192" w:name="_Toc10534"/>
      <w:bookmarkStart w:id="193" w:name="_Toc18645"/>
      <w:bookmarkStart w:id="194" w:name="_Toc17392"/>
      <w:bookmarkStart w:id="195" w:name="_Toc438648622"/>
      <w:r>
        <w:rPr>
          <w:rFonts w:hint="eastAsia" w:hAnsi="宋体" w:cs="宋体"/>
          <w:b/>
          <w:color w:val="auto"/>
          <w:szCs w:val="24"/>
          <w:highlight w:val="none"/>
        </w:rPr>
        <w:t>附件四</w:t>
      </w:r>
      <w:bookmarkEnd w:id="191"/>
      <w:bookmarkEnd w:id="192"/>
      <w:bookmarkEnd w:id="193"/>
      <w:bookmarkEnd w:id="194"/>
    </w:p>
    <w:p>
      <w:pPr>
        <w:spacing w:before="156" w:beforeLines="50" w:after="156" w:afterLines="50" w:line="360" w:lineRule="auto"/>
        <w:jc w:val="center"/>
        <w:rPr>
          <w:rFonts w:hAnsi="宋体" w:cs="宋体"/>
          <w:b/>
          <w:color w:val="auto"/>
          <w:szCs w:val="24"/>
          <w:highlight w:val="none"/>
        </w:rPr>
      </w:pPr>
      <w:r>
        <w:rPr>
          <w:rFonts w:hint="eastAsia" w:hAnsi="宋体" w:cs="宋体"/>
          <w:b/>
          <w:color w:val="auto"/>
          <w:szCs w:val="24"/>
          <w:highlight w:val="none"/>
        </w:rPr>
        <w:t>询比授权书</w:t>
      </w:r>
    </w:p>
    <w:p>
      <w:pPr>
        <w:snapToGrid w:val="0"/>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本授权书声明：</w:t>
      </w:r>
      <w:r>
        <w:rPr>
          <w:rFonts w:hint="eastAsia" w:hAnsi="宋体" w:cs="宋体"/>
          <w:color w:val="auto"/>
          <w:szCs w:val="24"/>
          <w:highlight w:val="none"/>
          <w:u w:val="single"/>
        </w:rPr>
        <w:t xml:space="preserve">            </w:t>
      </w:r>
      <w:r>
        <w:rPr>
          <w:rFonts w:hint="eastAsia" w:hAnsi="宋体" w:cs="宋体"/>
          <w:color w:val="auto"/>
          <w:szCs w:val="24"/>
          <w:highlight w:val="none"/>
        </w:rPr>
        <w:t>公司授权本公司</w:t>
      </w:r>
      <w:r>
        <w:rPr>
          <w:rFonts w:hint="eastAsia" w:hAnsi="宋体" w:cs="宋体"/>
          <w:color w:val="auto"/>
          <w:szCs w:val="24"/>
          <w:highlight w:val="none"/>
          <w:u w:val="single"/>
        </w:rPr>
        <w:t xml:space="preserve">       </w:t>
      </w:r>
      <w:r>
        <w:rPr>
          <w:rFonts w:hint="eastAsia" w:hAnsi="宋体" w:cs="宋体"/>
          <w:color w:val="auto"/>
          <w:szCs w:val="24"/>
          <w:highlight w:val="none"/>
        </w:rPr>
        <w:t>（供应商授权代表姓名、职务）代表本公司参加</w:t>
      </w:r>
      <w:r>
        <w:rPr>
          <w:rFonts w:hint="eastAsia" w:hAnsi="宋体"/>
          <w:bCs/>
          <w:color w:val="auto"/>
          <w:szCs w:val="24"/>
          <w:highlight w:val="none"/>
        </w:rPr>
        <w:t>安徽安兆工程技术咨询服务有限公司组织的</w:t>
      </w:r>
      <w:r>
        <w:rPr>
          <w:rFonts w:hint="eastAsia" w:hAnsi="宋体" w:cs="宋体"/>
          <w:color w:val="auto"/>
          <w:szCs w:val="18"/>
          <w:highlight w:val="none"/>
          <w:u w:val="single"/>
        </w:rPr>
        <w:t>中水淮河规划设计研究有限公司员工活动中心项目</w:t>
      </w:r>
      <w:r>
        <w:rPr>
          <w:rFonts w:hint="eastAsia" w:hAnsi="宋体" w:cs="宋体"/>
          <w:color w:val="auto"/>
          <w:szCs w:val="24"/>
          <w:highlight w:val="none"/>
        </w:rPr>
        <w:t>采购活动，全权代表本公司处理询比过程的一切事宜，包括但不限于：询比、签约等。供应商授权代表在询比过程中所签署的一切文件和处理与之有关的一切事务，本公司均予以认可并对此承担责任。供应商授权代表无转委托权。特此授权。</w:t>
      </w:r>
    </w:p>
    <w:p>
      <w:pPr>
        <w:snapToGrid w:val="0"/>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本授权书自出具之日起生效。</w:t>
      </w:r>
    </w:p>
    <w:p>
      <w:pPr>
        <w:pStyle w:val="2"/>
        <w:snapToGrid w:val="0"/>
        <w:spacing w:line="360" w:lineRule="auto"/>
        <w:ind w:firstLine="480" w:firstLineChars="200"/>
        <w:jc w:val="left"/>
        <w:rPr>
          <w:rFonts w:hAnsi="宋体"/>
          <w:color w:val="auto"/>
          <w:sz w:val="24"/>
          <w:szCs w:val="28"/>
          <w:highlight w:val="none"/>
        </w:rPr>
      </w:pPr>
    </w:p>
    <w:p>
      <w:pPr>
        <w:pStyle w:val="2"/>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授权代表（或</w:t>
      </w:r>
      <w:r>
        <w:rPr>
          <w:rFonts w:hint="eastAsia" w:hAnsi="宋体"/>
          <w:color w:val="auto"/>
          <w:sz w:val="24"/>
          <w:highlight w:val="none"/>
        </w:rPr>
        <w:t>法定代表人</w:t>
      </w:r>
      <w:r>
        <w:rPr>
          <w:rFonts w:hint="eastAsia" w:hAnsi="宋体"/>
          <w:color w:val="auto"/>
          <w:sz w:val="24"/>
          <w:szCs w:val="28"/>
          <w:highlight w:val="none"/>
        </w:rPr>
        <w:t>）</w:t>
      </w:r>
      <w:r>
        <w:rPr>
          <w:rFonts w:hint="eastAsia" w:hAnsi="宋体"/>
          <w:color w:val="auto"/>
          <w:sz w:val="24"/>
          <w:highlight w:val="none"/>
        </w:rPr>
        <w:t>身份证明扫描件或影印件：</w:t>
      </w:r>
    </w:p>
    <w:p>
      <w:pPr>
        <w:pStyle w:val="2"/>
        <w:snapToGrid w:val="0"/>
        <w:spacing w:line="360" w:lineRule="auto"/>
        <w:ind w:firstLine="480" w:firstLineChars="200"/>
        <w:jc w:val="left"/>
        <w:rPr>
          <w:rFonts w:hAnsi="宋体"/>
          <w:color w:val="auto"/>
          <w:sz w:val="24"/>
          <w:highlight w:val="none"/>
        </w:rPr>
      </w:pPr>
    </w:p>
    <w:p>
      <w:pPr>
        <w:pStyle w:val="2"/>
        <w:snapToGrid w:val="0"/>
        <w:spacing w:line="360" w:lineRule="auto"/>
        <w:ind w:firstLine="480" w:firstLineChars="200"/>
        <w:jc w:val="left"/>
        <w:rPr>
          <w:rFonts w:hAnsi="宋体"/>
          <w:color w:val="auto"/>
          <w:sz w:val="24"/>
          <w:highlight w:val="none"/>
        </w:rPr>
      </w:pPr>
    </w:p>
    <w:p>
      <w:pPr>
        <w:pStyle w:val="2"/>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授权代表（或</w:t>
      </w:r>
      <w:r>
        <w:rPr>
          <w:rFonts w:hint="eastAsia" w:hAnsi="宋体"/>
          <w:color w:val="auto"/>
          <w:sz w:val="24"/>
          <w:highlight w:val="none"/>
        </w:rPr>
        <w:t>法定代表人</w:t>
      </w:r>
      <w:r>
        <w:rPr>
          <w:rFonts w:hint="eastAsia" w:hAnsi="宋体"/>
          <w:color w:val="auto"/>
          <w:sz w:val="24"/>
          <w:szCs w:val="28"/>
          <w:highlight w:val="none"/>
        </w:rPr>
        <w:t>）联系方式：</w:t>
      </w:r>
      <w:r>
        <w:rPr>
          <w:rFonts w:hint="eastAsia" w:hAnsi="宋体"/>
          <w:color w:val="auto"/>
          <w:sz w:val="24"/>
          <w:szCs w:val="28"/>
          <w:highlight w:val="none"/>
          <w:u w:val="single"/>
        </w:rPr>
        <w:t xml:space="preserve">          （请填写手机号码）</w:t>
      </w:r>
    </w:p>
    <w:p>
      <w:pPr>
        <w:pStyle w:val="2"/>
        <w:snapToGrid w:val="0"/>
        <w:spacing w:line="360" w:lineRule="auto"/>
        <w:ind w:firstLine="480" w:firstLineChars="200"/>
        <w:jc w:val="left"/>
        <w:rPr>
          <w:rFonts w:hAnsi="宋体"/>
          <w:color w:val="auto"/>
          <w:sz w:val="24"/>
          <w:szCs w:val="28"/>
          <w:highlight w:val="none"/>
        </w:rPr>
      </w:pPr>
    </w:p>
    <w:p>
      <w:pPr>
        <w:spacing w:line="360" w:lineRule="auto"/>
        <w:ind w:firstLine="600" w:firstLineChars="250"/>
        <w:rPr>
          <w:rFonts w:hAnsi="宋体"/>
          <w:color w:val="auto"/>
          <w:szCs w:val="28"/>
          <w:highlight w:val="none"/>
        </w:rPr>
      </w:pPr>
      <w:r>
        <w:rPr>
          <w:rFonts w:hint="eastAsia" w:hAnsi="宋体"/>
          <w:color w:val="auto"/>
          <w:szCs w:val="28"/>
          <w:highlight w:val="none"/>
        </w:rPr>
        <w:t>特此声明。</w:t>
      </w:r>
    </w:p>
    <w:p>
      <w:pPr>
        <w:spacing w:line="360" w:lineRule="auto"/>
        <w:rPr>
          <w:rFonts w:hAnsi="宋体"/>
          <w:color w:val="auto"/>
          <w:szCs w:val="28"/>
          <w:highlight w:val="none"/>
        </w:rPr>
      </w:pPr>
    </w:p>
    <w:p>
      <w:pPr>
        <w:spacing w:line="360" w:lineRule="auto"/>
        <w:ind w:firstLine="482" w:firstLineChars="200"/>
        <w:rPr>
          <w:rFonts w:hAnsi="宋体"/>
          <w:b/>
          <w:bCs/>
          <w:color w:val="auto"/>
          <w:szCs w:val="28"/>
          <w:highlight w:val="none"/>
        </w:rPr>
      </w:pPr>
      <w:r>
        <w:rPr>
          <w:rFonts w:hint="eastAsia" w:hAnsi="宋体"/>
          <w:b/>
          <w:bCs/>
          <w:color w:val="auto"/>
          <w:szCs w:val="28"/>
          <w:highlight w:val="none"/>
        </w:rPr>
        <w:t>供应商签章：</w:t>
      </w:r>
      <w:r>
        <w:rPr>
          <w:rFonts w:hint="eastAsia" w:hAnsi="宋体"/>
          <w:b/>
          <w:bCs/>
          <w:color w:val="auto"/>
          <w:szCs w:val="28"/>
          <w:highlight w:val="none"/>
          <w:u w:val="single"/>
        </w:rPr>
        <w:t xml:space="preserve">                    </w:t>
      </w:r>
    </w:p>
    <w:p>
      <w:pPr>
        <w:spacing w:line="360" w:lineRule="auto"/>
        <w:ind w:firstLine="480" w:firstLineChars="200"/>
        <w:rPr>
          <w:rFonts w:hAnsi="宋体"/>
          <w:color w:val="auto"/>
          <w:szCs w:val="28"/>
          <w:highlight w:val="none"/>
        </w:rPr>
      </w:pPr>
      <w:r>
        <w:rPr>
          <w:rFonts w:hint="eastAsia" w:hAnsi="宋体"/>
          <w:color w:val="auto"/>
          <w:szCs w:val="28"/>
          <w:highlight w:val="none"/>
        </w:rPr>
        <w:t>日     期：</w:t>
      </w:r>
      <w:r>
        <w:rPr>
          <w:rFonts w:hint="eastAsia" w:hAnsi="宋体"/>
          <w:color w:val="auto"/>
          <w:szCs w:val="28"/>
          <w:highlight w:val="none"/>
          <w:u w:val="single"/>
        </w:rPr>
        <w:t xml:space="preserve">  </w:t>
      </w:r>
      <w:r>
        <w:rPr>
          <w:rFonts w:hint="eastAsia" w:hAnsi="宋体"/>
          <w:color w:val="auto"/>
          <w:szCs w:val="28"/>
          <w:highlight w:val="none"/>
        </w:rPr>
        <w:t>年</w:t>
      </w:r>
      <w:r>
        <w:rPr>
          <w:rFonts w:hint="eastAsia" w:hAnsi="宋体"/>
          <w:color w:val="auto"/>
          <w:szCs w:val="28"/>
          <w:highlight w:val="none"/>
          <w:u w:val="single"/>
        </w:rPr>
        <w:t xml:space="preserve">  </w:t>
      </w:r>
      <w:r>
        <w:rPr>
          <w:rFonts w:hint="eastAsia" w:hAnsi="宋体"/>
          <w:color w:val="auto"/>
          <w:szCs w:val="28"/>
          <w:highlight w:val="none"/>
        </w:rPr>
        <w:t>月</w:t>
      </w:r>
      <w:r>
        <w:rPr>
          <w:rFonts w:hint="eastAsia" w:hAnsi="宋体"/>
          <w:color w:val="auto"/>
          <w:szCs w:val="28"/>
          <w:highlight w:val="none"/>
          <w:u w:val="single"/>
        </w:rPr>
        <w:t xml:space="preserve">  </w:t>
      </w:r>
      <w:r>
        <w:rPr>
          <w:rFonts w:hint="eastAsia" w:hAnsi="宋体"/>
          <w:color w:val="auto"/>
          <w:szCs w:val="28"/>
          <w:highlight w:val="none"/>
        </w:rPr>
        <w:t>日</w:t>
      </w:r>
    </w:p>
    <w:p>
      <w:pPr>
        <w:spacing w:line="360" w:lineRule="auto"/>
        <w:rPr>
          <w:rFonts w:hAnsi="宋体"/>
          <w:color w:val="auto"/>
          <w:szCs w:val="28"/>
          <w:highlight w:val="none"/>
        </w:rPr>
      </w:pPr>
    </w:p>
    <w:p>
      <w:pPr>
        <w:spacing w:line="360" w:lineRule="auto"/>
        <w:rPr>
          <w:rFonts w:hAnsi="宋体"/>
          <w:color w:val="auto"/>
          <w:szCs w:val="28"/>
          <w:highlight w:val="none"/>
        </w:rPr>
      </w:pPr>
    </w:p>
    <w:p>
      <w:pPr>
        <w:pStyle w:val="2"/>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pPr>
        <w:pStyle w:val="2"/>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1、本项目只允许有唯一的供应商授权代表，提供身份证明扫描件或影印件；</w:t>
      </w:r>
    </w:p>
    <w:p>
      <w:pPr>
        <w:spacing w:line="360" w:lineRule="auto"/>
        <w:rPr>
          <w:rFonts w:hAnsi="宋体"/>
          <w:color w:val="auto"/>
          <w:highlight w:val="none"/>
        </w:rPr>
      </w:pPr>
      <w:r>
        <w:rPr>
          <w:rFonts w:hint="eastAsia" w:hAnsi="宋体"/>
          <w:color w:val="auto"/>
          <w:highlight w:val="none"/>
        </w:rPr>
        <w:t>2、法定代表人参加询比的无需提供询比授权书，提供身份证明扫描件或影印件。</w:t>
      </w:r>
    </w:p>
    <w:p>
      <w:pPr>
        <w:snapToGrid w:val="0"/>
        <w:spacing w:line="360" w:lineRule="auto"/>
        <w:ind w:firstLine="480" w:firstLineChars="200"/>
        <w:jc w:val="left"/>
        <w:rPr>
          <w:rFonts w:hAnsi="宋体" w:cs="宋体"/>
          <w:color w:val="auto"/>
          <w:szCs w:val="24"/>
          <w:highlight w:val="none"/>
        </w:rPr>
      </w:pPr>
    </w:p>
    <w:p>
      <w:pPr>
        <w:keepNext/>
        <w:keepLines/>
        <w:spacing w:before="260" w:after="260" w:line="360" w:lineRule="auto"/>
        <w:outlineLvl w:val="1"/>
        <w:rPr>
          <w:rFonts w:hAnsi="宋体" w:cs="宋体"/>
          <w:b/>
          <w:color w:val="auto"/>
          <w:szCs w:val="24"/>
          <w:highlight w:val="none"/>
        </w:rPr>
      </w:pPr>
      <w:r>
        <w:rPr>
          <w:rFonts w:hAnsi="宋体" w:cs="宋体"/>
          <w:color w:val="auto"/>
          <w:szCs w:val="24"/>
          <w:highlight w:val="none"/>
        </w:rPr>
        <w:br w:type="page"/>
      </w:r>
      <w:bookmarkEnd w:id="195"/>
      <w:bookmarkStart w:id="196" w:name="_Toc438648624"/>
      <w:bookmarkStart w:id="197" w:name="_Toc10765"/>
      <w:bookmarkStart w:id="198" w:name="_Toc22990"/>
      <w:bookmarkStart w:id="199" w:name="_Toc19777"/>
      <w:bookmarkStart w:id="200" w:name="_Toc13861"/>
      <w:r>
        <w:rPr>
          <w:rFonts w:hint="eastAsia" w:hAnsi="宋体" w:cs="宋体"/>
          <w:b/>
          <w:color w:val="auto"/>
          <w:szCs w:val="24"/>
          <w:highlight w:val="none"/>
        </w:rPr>
        <w:t>附件</w:t>
      </w:r>
      <w:bookmarkEnd w:id="196"/>
      <w:r>
        <w:rPr>
          <w:rFonts w:hint="eastAsia" w:hAnsi="宋体" w:cs="宋体"/>
          <w:b/>
          <w:color w:val="auto"/>
          <w:szCs w:val="24"/>
          <w:highlight w:val="none"/>
        </w:rPr>
        <w:t>五</w:t>
      </w:r>
      <w:bookmarkEnd w:id="197"/>
      <w:bookmarkEnd w:id="198"/>
      <w:bookmarkEnd w:id="199"/>
      <w:bookmarkEnd w:id="200"/>
    </w:p>
    <w:p>
      <w:pPr>
        <w:snapToGrid w:val="0"/>
        <w:spacing w:after="156" w:afterLines="50" w:line="360" w:lineRule="auto"/>
        <w:jc w:val="center"/>
        <w:rPr>
          <w:rFonts w:hAnsi="宋体" w:cs="宋体"/>
          <w:b/>
          <w:color w:val="auto"/>
          <w:szCs w:val="24"/>
          <w:highlight w:val="none"/>
        </w:rPr>
      </w:pPr>
      <w:r>
        <w:rPr>
          <w:rFonts w:hint="eastAsia" w:hAnsi="宋体" w:cs="宋体"/>
          <w:b/>
          <w:color w:val="auto"/>
          <w:szCs w:val="24"/>
          <w:highlight w:val="none"/>
        </w:rPr>
        <w:t>工程量清单报价表</w:t>
      </w:r>
    </w:p>
    <w:p>
      <w:pPr>
        <w:snapToGrid w:val="0"/>
        <w:spacing w:line="360" w:lineRule="auto"/>
        <w:jc w:val="left"/>
        <w:rPr>
          <w:rFonts w:hAnsi="宋体" w:cs="宋体"/>
          <w:b/>
          <w:color w:val="auto"/>
          <w:szCs w:val="24"/>
          <w:highlight w:val="none"/>
        </w:rPr>
      </w:pPr>
      <w:r>
        <w:rPr>
          <w:rFonts w:hint="eastAsia" w:hAnsi="宋体" w:cs="宋体"/>
          <w:b/>
          <w:color w:val="auto"/>
          <w:szCs w:val="24"/>
          <w:highlight w:val="none"/>
        </w:rPr>
        <w:t xml:space="preserve">    项目名称：</w:t>
      </w:r>
      <w:r>
        <w:rPr>
          <w:rFonts w:hint="eastAsia" w:hAnsi="宋体" w:cs="宋体"/>
          <w:color w:val="auto"/>
          <w:szCs w:val="18"/>
          <w:highlight w:val="none"/>
          <w:u w:val="single"/>
        </w:rPr>
        <w:t>中水淮河规划设计研究有限公司员工活动中心项目</w:t>
      </w:r>
    </w:p>
    <w:tbl>
      <w:tblPr>
        <w:tblStyle w:val="58"/>
        <w:tblW w:w="8861" w:type="dxa"/>
        <w:jc w:val="center"/>
        <w:tblLayout w:type="fixed"/>
        <w:tblCellMar>
          <w:top w:w="0" w:type="dxa"/>
          <w:left w:w="108" w:type="dxa"/>
          <w:bottom w:w="0" w:type="dxa"/>
          <w:right w:w="108" w:type="dxa"/>
        </w:tblCellMar>
      </w:tblPr>
      <w:tblGrid>
        <w:gridCol w:w="426"/>
        <w:gridCol w:w="1276"/>
        <w:gridCol w:w="567"/>
        <w:gridCol w:w="780"/>
        <w:gridCol w:w="851"/>
        <w:gridCol w:w="992"/>
        <w:gridCol w:w="3969"/>
      </w:tblGrid>
      <w:tr>
        <w:tblPrEx>
          <w:tblCellMar>
            <w:top w:w="0" w:type="dxa"/>
            <w:left w:w="108" w:type="dxa"/>
            <w:bottom w:w="0" w:type="dxa"/>
            <w:right w:w="108" w:type="dxa"/>
          </w:tblCellMar>
        </w:tblPrEx>
        <w:trPr>
          <w:trHeight w:val="561" w:hRule="atLeast"/>
          <w:jc w:val="center"/>
        </w:trPr>
        <w:tc>
          <w:tcPr>
            <w:tcW w:w="42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序号</w:t>
            </w: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项目名称</w:t>
            </w:r>
          </w:p>
        </w:tc>
        <w:tc>
          <w:tcPr>
            <w:tcW w:w="56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单位</w:t>
            </w:r>
          </w:p>
        </w:tc>
        <w:tc>
          <w:tcPr>
            <w:tcW w:w="78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数量</w:t>
            </w:r>
          </w:p>
        </w:tc>
        <w:tc>
          <w:tcPr>
            <w:tcW w:w="8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 xml:space="preserve"> 含税单价 （元）</w:t>
            </w:r>
          </w:p>
        </w:tc>
        <w:tc>
          <w:tcPr>
            <w:tcW w:w="992" w:type="dxa"/>
            <w:tcBorders>
              <w:top w:val="single" w:color="auto"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含税总价（元） </w:t>
            </w:r>
          </w:p>
        </w:tc>
        <w:tc>
          <w:tcPr>
            <w:tcW w:w="3969" w:type="dxa"/>
            <w:tcBorders>
              <w:top w:val="single" w:color="auto"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材料及工艺做法说明</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w:t>
            </w:r>
          </w:p>
        </w:tc>
        <w:tc>
          <w:tcPr>
            <w:tcW w:w="1276" w:type="dxa"/>
            <w:tcBorders>
              <w:top w:val="nil"/>
              <w:left w:val="nil"/>
              <w:bottom w:val="single" w:color="000000" w:sz="4" w:space="0"/>
              <w:right w:val="single" w:color="000000" w:sz="4" w:space="0"/>
            </w:tcBorders>
            <w:shd w:val="clear" w:color="auto" w:fill="auto"/>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原混凝土浇筑楼梯拆除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nil"/>
              <w:left w:val="nil"/>
              <w:bottom w:val="nil"/>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需设计院确认可拆除；</w:t>
            </w:r>
            <w:r>
              <w:rPr>
                <w:rFonts w:hint="eastAsia" w:hAnsi="宋体" w:cs="宋体"/>
                <w:color w:val="auto"/>
                <w:sz w:val="18"/>
                <w:szCs w:val="18"/>
                <w:highlight w:val="none"/>
              </w:rPr>
              <w:br w:type="textWrapping"/>
            </w:r>
            <w:r>
              <w:rPr>
                <w:rFonts w:hint="eastAsia" w:hAnsi="宋体" w:cs="宋体"/>
                <w:color w:val="auto"/>
                <w:sz w:val="18"/>
                <w:szCs w:val="18"/>
                <w:highlight w:val="none"/>
              </w:rPr>
              <w:t>1．人工拆除；</w:t>
            </w:r>
            <w:r>
              <w:rPr>
                <w:rFonts w:hint="eastAsia" w:hAnsi="宋体" w:cs="宋体"/>
                <w:color w:val="auto"/>
                <w:sz w:val="18"/>
                <w:szCs w:val="18"/>
                <w:highlight w:val="none"/>
              </w:rPr>
              <w:br w:type="textWrapping"/>
            </w:r>
            <w:r>
              <w:rPr>
                <w:rFonts w:hint="eastAsia" w:hAnsi="宋体" w:cs="宋体"/>
                <w:color w:val="auto"/>
                <w:sz w:val="18"/>
                <w:szCs w:val="18"/>
                <w:highlight w:val="none"/>
              </w:rPr>
              <w:t>2.拆除垃圾堆放至指定地点；</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原地面环氧地坪漆铲除</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380.00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1.原地面高低不平，且环氧地坪漆基础多处鼓包翘角等质量问题，无法作为活动场地，根据施工要求，铲除地坪至基础。2．人工或机械拆除；3、基础打磨</w:t>
            </w:r>
            <w:r>
              <w:rPr>
                <w:rFonts w:hint="eastAsia" w:hAnsi="宋体" w:cs="宋体"/>
                <w:color w:val="auto"/>
                <w:sz w:val="18"/>
                <w:szCs w:val="18"/>
                <w:highlight w:val="none"/>
              </w:rPr>
              <w:br w:type="textWrapping"/>
            </w:r>
            <w:r>
              <w:rPr>
                <w:rFonts w:hint="eastAsia" w:hAnsi="宋体" w:cs="宋体"/>
                <w:color w:val="auto"/>
                <w:sz w:val="18"/>
                <w:szCs w:val="18"/>
                <w:highlight w:val="none"/>
              </w:rPr>
              <w:t>4.拆除垃圾堆放至指定地点；</w:t>
            </w:r>
          </w:p>
        </w:tc>
      </w:tr>
      <w:tr>
        <w:tblPrEx>
          <w:tblCellMar>
            <w:top w:w="0" w:type="dxa"/>
            <w:left w:w="108" w:type="dxa"/>
            <w:bottom w:w="0" w:type="dxa"/>
            <w:right w:w="108" w:type="dxa"/>
          </w:tblCellMar>
        </w:tblPrEx>
        <w:trPr>
          <w:trHeight w:val="64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3</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开门洞(双开门)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4.50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1．人工拆除；</w:t>
            </w:r>
            <w:r>
              <w:rPr>
                <w:rFonts w:hint="eastAsia" w:hAnsi="宋体" w:cs="宋体"/>
                <w:color w:val="auto"/>
                <w:sz w:val="18"/>
                <w:szCs w:val="18"/>
                <w:highlight w:val="none"/>
              </w:rPr>
              <w:br w:type="textWrapping"/>
            </w:r>
            <w:r>
              <w:rPr>
                <w:rFonts w:hint="eastAsia" w:hAnsi="宋体" w:cs="宋体"/>
                <w:color w:val="auto"/>
                <w:sz w:val="18"/>
                <w:szCs w:val="18"/>
                <w:highlight w:val="none"/>
              </w:rPr>
              <w:t>2.拆除垃圾堆放至指定地点；</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4</w:t>
            </w:r>
          </w:p>
        </w:tc>
        <w:tc>
          <w:tcPr>
            <w:tcW w:w="1276" w:type="dxa"/>
            <w:tcBorders>
              <w:top w:val="single" w:color="000000" w:sz="4" w:space="0"/>
              <w:left w:val="nil"/>
              <w:bottom w:val="single" w:color="auto" w:sz="4" w:space="0"/>
              <w:right w:val="single" w:color="000000" w:sz="4" w:space="0"/>
            </w:tcBorders>
            <w:shd w:val="clear" w:color="auto" w:fill="auto"/>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原入户门拆除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1．人工拆除；</w:t>
            </w:r>
            <w:r>
              <w:rPr>
                <w:rFonts w:hint="eastAsia" w:hAnsi="宋体" w:cs="宋体"/>
                <w:color w:val="auto"/>
                <w:sz w:val="18"/>
                <w:szCs w:val="18"/>
                <w:highlight w:val="none"/>
              </w:rPr>
              <w:br w:type="textWrapping"/>
            </w:r>
            <w:r>
              <w:rPr>
                <w:rFonts w:hint="eastAsia" w:hAnsi="宋体" w:cs="宋体"/>
                <w:color w:val="auto"/>
                <w:sz w:val="18"/>
                <w:szCs w:val="18"/>
                <w:highlight w:val="none"/>
              </w:rPr>
              <w:t>2.拆除垃圾堆放至指定地点；</w:t>
            </w:r>
          </w:p>
        </w:tc>
      </w:tr>
      <w:tr>
        <w:tblPrEx>
          <w:tblCellMar>
            <w:top w:w="0" w:type="dxa"/>
            <w:left w:w="108" w:type="dxa"/>
            <w:bottom w:w="0" w:type="dxa"/>
            <w:right w:w="108" w:type="dxa"/>
          </w:tblCellMar>
        </w:tblPrEx>
        <w:trPr>
          <w:trHeight w:val="112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5</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钢制花纹板楼梯(含休息平台)</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需设计院确认楼梯方案；</w:t>
            </w:r>
            <w:r>
              <w:rPr>
                <w:rFonts w:hint="eastAsia" w:hAnsi="宋体" w:cs="宋体"/>
                <w:color w:val="auto"/>
                <w:sz w:val="18"/>
                <w:szCs w:val="18"/>
                <w:highlight w:val="none"/>
              </w:rPr>
              <w:br w:type="textWrapping"/>
            </w:r>
            <w:r>
              <w:rPr>
                <w:rFonts w:hint="eastAsia" w:hAnsi="宋体" w:cs="宋体"/>
                <w:color w:val="auto"/>
                <w:sz w:val="18"/>
                <w:szCs w:val="18"/>
                <w:highlight w:val="none"/>
              </w:rPr>
              <w:t>简易人行楼梯（含普通扶手）</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6</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地面返沙处理及基础找平</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380.00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1.清除地面杂质，基层涂刷返沙克星2遍；2.水泥砂浆或胶泥找平原地面，3.面层涂刷地固2遍</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7</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地面自流平</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380.00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施做3-5mm水泥自流平，保证平整度</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8</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休息储藏低柜</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m</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宽约400-500mm，可用于休息及储物</w:t>
            </w:r>
          </w:p>
        </w:tc>
      </w:tr>
      <w:tr>
        <w:tblPrEx>
          <w:tblCellMar>
            <w:top w:w="0" w:type="dxa"/>
            <w:left w:w="108" w:type="dxa"/>
            <w:bottom w:w="0" w:type="dxa"/>
            <w:right w:w="108" w:type="dxa"/>
          </w:tblCellMar>
        </w:tblPrEx>
        <w:trPr>
          <w:trHeight w:val="2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9</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凳子</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个</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长度1800mm，可用于休息，简易可移动式</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10</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大包消防箱(含隐形门)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制作高度与绿色乳胶漆齐平</w:t>
            </w:r>
          </w:p>
        </w:tc>
      </w:tr>
      <w:tr>
        <w:tblPrEx>
          <w:tblCellMar>
            <w:top w:w="0" w:type="dxa"/>
            <w:left w:w="108" w:type="dxa"/>
            <w:bottom w:w="0" w:type="dxa"/>
            <w:right w:w="108" w:type="dxa"/>
          </w:tblCellMar>
        </w:tblPrEx>
        <w:trPr>
          <w:trHeight w:val="112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11</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墙面绿色立邦乳胶漆（含基层处理）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190.00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绿色乳胶漆高度离地2.5M,含基层处理，立邦乳胶漆</w:t>
            </w:r>
          </w:p>
        </w:tc>
      </w:tr>
      <w:tr>
        <w:tblPrEx>
          <w:tblCellMar>
            <w:top w:w="0" w:type="dxa"/>
            <w:left w:w="108" w:type="dxa"/>
            <w:bottom w:w="0" w:type="dxa"/>
            <w:right w:w="108" w:type="dxa"/>
          </w:tblCellMar>
        </w:tblPrEx>
        <w:trPr>
          <w:trHeight w:val="2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12</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软包</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35.00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活动场所必要的柱体，凸角，墙角及部分墙面的软包保护</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13</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主入户门不锈钢边框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M</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14</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入户地弹玻璃门(双开)</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主入库门朝北向，考虑稳定性又至室外区域，建议钢化玻璃门</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15</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车库入户防火门(双开)</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考虑地库人防区域，建议防火门</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16</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车库侧防火门更换(单开)</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 xml:space="preserve"> 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考虑地库人防区域，建议防火门</w:t>
            </w:r>
          </w:p>
        </w:tc>
      </w:tr>
      <w:tr>
        <w:tblPrEx>
          <w:tblCellMar>
            <w:top w:w="0" w:type="dxa"/>
            <w:left w:w="108" w:type="dxa"/>
            <w:bottom w:w="0" w:type="dxa"/>
            <w:right w:w="108" w:type="dxa"/>
          </w:tblCellMar>
        </w:tblPrEx>
        <w:trPr>
          <w:trHeight w:val="112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17</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室内电路改造（按建筑平方计算）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380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按套内面积以平米计算，含2.5m㎡线，4.0m㎡线，6.0m㎡线；墙、地面开槽，开关插座面板；</w:t>
            </w:r>
          </w:p>
        </w:tc>
      </w:tr>
      <w:tr>
        <w:tblPrEx>
          <w:tblCellMar>
            <w:top w:w="0" w:type="dxa"/>
            <w:left w:w="108" w:type="dxa"/>
            <w:bottom w:w="0" w:type="dxa"/>
            <w:right w:w="108" w:type="dxa"/>
          </w:tblCellMar>
        </w:tblPrEx>
        <w:trPr>
          <w:trHeight w:val="2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18</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LED辅灯</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盏</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 xml:space="preserve">40.00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品牌：欧普、雷士或同档次产品</w:t>
            </w: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19</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照明及辅助灯具安装</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筒灯，专业灯具安装等。</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20</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多联机室外机</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 xml:space="preserve">400W（14匹） </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21</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四面出风室内机</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100型，根据场地实际条件安装中央空调</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22</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送、排风机箱</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满足场地要求</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23</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多联机安装费</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p>
        </w:tc>
      </w:tr>
      <w:tr>
        <w:tblPrEx>
          <w:tblCellMar>
            <w:top w:w="0" w:type="dxa"/>
            <w:left w:w="108" w:type="dxa"/>
            <w:bottom w:w="0" w:type="dxa"/>
            <w:right w:w="108" w:type="dxa"/>
          </w:tblCellMar>
        </w:tblPrEx>
        <w:trPr>
          <w:trHeight w:val="30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24</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镀锌风管</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106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p>
        </w:tc>
      </w:tr>
      <w:tr>
        <w:tblPrEx>
          <w:tblCellMar>
            <w:top w:w="0" w:type="dxa"/>
            <w:left w:w="108" w:type="dxa"/>
            <w:bottom w:w="0" w:type="dxa"/>
            <w:right w:w="108" w:type="dxa"/>
          </w:tblCellMar>
        </w:tblPrEx>
        <w:trPr>
          <w:trHeight w:val="30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25</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控制器</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个</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26</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材料搬运费（含材料运输）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p>
        </w:tc>
      </w:tr>
      <w:tr>
        <w:tblPrEx>
          <w:tblCellMar>
            <w:top w:w="0" w:type="dxa"/>
            <w:left w:w="108" w:type="dxa"/>
            <w:bottom w:w="0" w:type="dxa"/>
            <w:right w:w="108" w:type="dxa"/>
          </w:tblCellMar>
        </w:tblPrEx>
        <w:trPr>
          <w:trHeight w:val="2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27</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垃圾清运</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车</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1、拆除建筑垃圾渣土车清运；2、从装修地点运至合肥市建筑垃圾指定地点；3,含铲车费用</w:t>
            </w:r>
          </w:p>
        </w:tc>
      </w:tr>
      <w:tr>
        <w:tblPrEx>
          <w:tblCellMar>
            <w:top w:w="0" w:type="dxa"/>
            <w:left w:w="108" w:type="dxa"/>
            <w:bottom w:w="0" w:type="dxa"/>
            <w:right w:w="108" w:type="dxa"/>
          </w:tblCellMar>
        </w:tblPrEx>
        <w:trPr>
          <w:trHeight w:val="2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28</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脚手架</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p>
        </w:tc>
      </w:tr>
      <w:tr>
        <w:tblPrEx>
          <w:tblCellMar>
            <w:top w:w="0" w:type="dxa"/>
            <w:left w:w="108" w:type="dxa"/>
            <w:bottom w:w="0" w:type="dxa"/>
            <w:right w:w="108" w:type="dxa"/>
          </w:tblCellMar>
        </w:tblPrEx>
        <w:trPr>
          <w:trHeight w:val="8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29</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主电缆(4*25+1*16)</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220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国标电缆,含辅材铜鼻等,桥架人工安装,电缆上级塑壳空开甲供</w:t>
            </w:r>
          </w:p>
        </w:tc>
      </w:tr>
      <w:tr>
        <w:tblPrEx>
          <w:tblCellMar>
            <w:top w:w="0" w:type="dxa"/>
            <w:left w:w="108" w:type="dxa"/>
            <w:bottom w:w="0" w:type="dxa"/>
            <w:right w:w="108" w:type="dxa"/>
          </w:tblCellMar>
        </w:tblPrEx>
        <w:trPr>
          <w:trHeight w:val="112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30</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主挂墙式动力非标配电箱(柜)</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项</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Ansi="宋体" w:cs="宋体"/>
                <w:color w:val="auto"/>
                <w:sz w:val="18"/>
                <w:szCs w:val="18"/>
                <w:highlight w:val="none"/>
              </w:rPr>
            </w:pPr>
            <w:r>
              <w:rPr>
                <w:rFonts w:hint="eastAsia" w:hAnsi="宋体" w:cs="宋体"/>
                <w:color w:val="auto"/>
                <w:sz w:val="18"/>
                <w:szCs w:val="18"/>
                <w:highlight w:val="none"/>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含塑壳及电气元件</w:t>
            </w:r>
          </w:p>
        </w:tc>
      </w:tr>
      <w:tr>
        <w:tblPrEx>
          <w:tblCellMar>
            <w:top w:w="0" w:type="dxa"/>
            <w:left w:w="108" w:type="dxa"/>
            <w:bottom w:w="0" w:type="dxa"/>
            <w:right w:w="108" w:type="dxa"/>
          </w:tblCellMar>
        </w:tblPrEx>
        <w:trPr>
          <w:trHeight w:val="514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31</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运动地胶</w:t>
            </w:r>
          </w:p>
        </w:tc>
        <w:tc>
          <w:tcPr>
            <w:tcW w:w="56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 xml:space="preserve">380.00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1.厚度：4.7mm。</w:t>
            </w:r>
            <w:r>
              <w:rPr>
                <w:rFonts w:hint="eastAsia" w:hAnsi="宋体" w:cs="宋体"/>
                <w:color w:val="auto"/>
                <w:sz w:val="18"/>
                <w:szCs w:val="18"/>
                <w:highlight w:val="none"/>
              </w:rPr>
              <w:br w:type="textWrapping"/>
            </w:r>
            <w:r>
              <w:rPr>
                <w:rFonts w:hint="eastAsia" w:hAnsi="宋体" w:cs="宋体"/>
                <w:color w:val="auto"/>
                <w:sz w:val="18"/>
                <w:szCs w:val="18"/>
                <w:highlight w:val="none"/>
              </w:rPr>
              <w:t>2.产品结构：≥1.2mm厚水晶石状耐磨防滑层，高模量玻纤网格稳定层，高密度泡沫缓冲层，底部吸盘防移动技术层组成。</w:t>
            </w:r>
            <w:r>
              <w:rPr>
                <w:rFonts w:hint="eastAsia" w:hAnsi="宋体" w:cs="宋体"/>
                <w:color w:val="auto"/>
                <w:sz w:val="18"/>
                <w:szCs w:val="18"/>
                <w:highlight w:val="none"/>
              </w:rPr>
              <w:br w:type="textWrapping"/>
            </w:r>
            <w:r>
              <w:rPr>
                <w:rFonts w:hint="eastAsia" w:hAnsi="宋体" w:cs="宋体"/>
                <w:color w:val="auto"/>
                <w:sz w:val="18"/>
                <w:szCs w:val="18"/>
                <w:highlight w:val="none"/>
              </w:rPr>
              <w:t>3.产品幅宽：1.8m。</w:t>
            </w:r>
            <w:r>
              <w:rPr>
                <w:rFonts w:hint="eastAsia" w:hAnsi="宋体" w:cs="宋体"/>
                <w:color w:val="auto"/>
                <w:sz w:val="18"/>
                <w:szCs w:val="18"/>
                <w:highlight w:val="none"/>
              </w:rPr>
              <w:br w:type="textWrapping"/>
            </w:r>
            <w:r>
              <w:rPr>
                <w:rFonts w:hint="eastAsia" w:hAnsi="宋体" w:cs="宋体"/>
                <w:color w:val="auto"/>
                <w:sz w:val="18"/>
                <w:szCs w:val="18"/>
                <w:highlight w:val="none"/>
              </w:rPr>
              <w:t>4.产品颜色：蓝色。</w:t>
            </w:r>
            <w:r>
              <w:rPr>
                <w:rFonts w:hint="eastAsia" w:hAnsi="宋体" w:cs="宋体"/>
                <w:color w:val="auto"/>
                <w:sz w:val="18"/>
                <w:szCs w:val="18"/>
                <w:highlight w:val="none"/>
              </w:rPr>
              <w:br w:type="textWrapping"/>
            </w:r>
            <w:r>
              <w:rPr>
                <w:rFonts w:hint="eastAsia" w:hAnsi="宋体" w:cs="宋体"/>
                <w:color w:val="auto"/>
                <w:sz w:val="18"/>
                <w:szCs w:val="18"/>
                <w:highlight w:val="none"/>
              </w:rPr>
              <w:t>5.外观质量：色泽均匀，无明显色差，无裂痕、分层等缺陷 。</w:t>
            </w:r>
            <w:r>
              <w:rPr>
                <w:rFonts w:hint="eastAsia" w:hAnsi="宋体" w:cs="宋体"/>
                <w:color w:val="auto"/>
                <w:sz w:val="18"/>
                <w:szCs w:val="18"/>
                <w:highlight w:val="none"/>
              </w:rPr>
              <w:br w:type="textWrapping"/>
            </w:r>
            <w:r>
              <w:rPr>
                <w:rFonts w:hint="eastAsia" w:hAnsi="宋体" w:cs="宋体"/>
                <w:color w:val="auto"/>
                <w:sz w:val="18"/>
                <w:szCs w:val="18"/>
                <w:highlight w:val="none"/>
              </w:rPr>
              <w:t>6.硬度（邵A）：≥57（度）。</w:t>
            </w:r>
            <w:r>
              <w:rPr>
                <w:rFonts w:hint="eastAsia" w:hAnsi="宋体" w:cs="宋体"/>
                <w:color w:val="auto"/>
                <w:sz w:val="18"/>
                <w:szCs w:val="18"/>
                <w:highlight w:val="none"/>
              </w:rPr>
              <w:br w:type="textWrapping"/>
            </w:r>
            <w:r>
              <w:rPr>
                <w:rFonts w:hint="eastAsia" w:hAnsi="宋体" w:cs="宋体"/>
                <w:color w:val="auto"/>
                <w:sz w:val="18"/>
                <w:szCs w:val="18"/>
                <w:highlight w:val="none"/>
              </w:rPr>
              <w:t>7.回弹值：≥9。</w:t>
            </w:r>
            <w:r>
              <w:rPr>
                <w:rFonts w:hint="eastAsia" w:hAnsi="宋体" w:cs="宋体"/>
                <w:color w:val="auto"/>
                <w:sz w:val="18"/>
                <w:szCs w:val="18"/>
                <w:highlight w:val="none"/>
              </w:rPr>
              <w:br w:type="textWrapping"/>
            </w:r>
            <w:r>
              <w:rPr>
                <w:rFonts w:hint="eastAsia" w:hAnsi="宋体" w:cs="宋体"/>
                <w:color w:val="auto"/>
                <w:sz w:val="18"/>
                <w:szCs w:val="18"/>
                <w:highlight w:val="none"/>
              </w:rPr>
              <w:t>8.拉伸强度：≥4.6MPa。</w:t>
            </w:r>
            <w:r>
              <w:rPr>
                <w:rFonts w:hint="eastAsia" w:hAnsi="宋体" w:cs="宋体"/>
                <w:color w:val="auto"/>
                <w:sz w:val="18"/>
                <w:szCs w:val="18"/>
                <w:highlight w:val="none"/>
              </w:rPr>
              <w:br w:type="textWrapping"/>
            </w:r>
            <w:r>
              <w:rPr>
                <w:rFonts w:hint="eastAsia" w:hAnsi="宋体" w:cs="宋体"/>
                <w:color w:val="auto"/>
                <w:sz w:val="18"/>
                <w:szCs w:val="18"/>
                <w:highlight w:val="none"/>
              </w:rPr>
              <w:t>9.拉断伸长率：≥150%。</w:t>
            </w:r>
            <w:r>
              <w:rPr>
                <w:rFonts w:hint="eastAsia" w:hAnsi="宋体" w:cs="宋体"/>
                <w:color w:val="auto"/>
                <w:sz w:val="18"/>
                <w:szCs w:val="18"/>
                <w:highlight w:val="none"/>
              </w:rPr>
              <w:br w:type="textWrapping"/>
            </w:r>
            <w:r>
              <w:rPr>
                <w:rFonts w:hint="eastAsia" w:hAnsi="宋体" w:cs="宋体"/>
                <w:color w:val="auto"/>
                <w:sz w:val="18"/>
                <w:szCs w:val="18"/>
                <w:highlight w:val="none"/>
              </w:rPr>
              <w:t>10.灰分≤0.27%。</w:t>
            </w:r>
            <w:r>
              <w:rPr>
                <w:rFonts w:hint="eastAsia" w:hAnsi="宋体" w:cs="宋体"/>
                <w:color w:val="auto"/>
                <w:sz w:val="18"/>
                <w:szCs w:val="18"/>
                <w:highlight w:val="none"/>
              </w:rPr>
              <w:br w:type="textWrapping"/>
            </w:r>
            <w:r>
              <w:rPr>
                <w:rFonts w:hint="eastAsia" w:hAnsi="宋体" w:cs="宋体"/>
                <w:color w:val="auto"/>
                <w:sz w:val="18"/>
                <w:szCs w:val="18"/>
                <w:highlight w:val="none"/>
              </w:rPr>
              <w:t>11.摩擦系数：≥0.5。</w:t>
            </w:r>
            <w:r>
              <w:rPr>
                <w:rFonts w:hint="eastAsia" w:hAnsi="宋体" w:cs="宋体"/>
                <w:color w:val="auto"/>
                <w:sz w:val="18"/>
                <w:szCs w:val="18"/>
                <w:highlight w:val="none"/>
              </w:rPr>
              <w:br w:type="textWrapping"/>
            </w:r>
            <w:r>
              <w:rPr>
                <w:rFonts w:hint="eastAsia" w:hAnsi="宋体" w:cs="宋体"/>
                <w:color w:val="auto"/>
                <w:sz w:val="18"/>
                <w:szCs w:val="18"/>
                <w:highlight w:val="none"/>
              </w:rPr>
              <w:t>12.氯乙烯单体含量：未检出。</w:t>
            </w:r>
            <w:r>
              <w:rPr>
                <w:rFonts w:hint="eastAsia" w:hAnsi="宋体" w:cs="宋体"/>
                <w:color w:val="auto"/>
                <w:sz w:val="18"/>
                <w:szCs w:val="18"/>
                <w:highlight w:val="none"/>
              </w:rPr>
              <w:br w:type="textWrapping"/>
            </w:r>
            <w:r>
              <w:rPr>
                <w:rFonts w:hint="eastAsia" w:hAnsi="宋体" w:cs="宋体"/>
                <w:color w:val="auto"/>
                <w:sz w:val="18"/>
                <w:szCs w:val="18"/>
                <w:highlight w:val="none"/>
              </w:rPr>
              <w:t>13.可溶性重金属铅含量：未检出。</w:t>
            </w:r>
            <w:r>
              <w:rPr>
                <w:rFonts w:hint="eastAsia" w:hAnsi="宋体" w:cs="宋体"/>
                <w:color w:val="auto"/>
                <w:sz w:val="18"/>
                <w:szCs w:val="18"/>
                <w:highlight w:val="none"/>
              </w:rPr>
              <w:br w:type="textWrapping"/>
            </w:r>
            <w:r>
              <w:rPr>
                <w:rFonts w:hint="eastAsia" w:hAnsi="宋体" w:cs="宋体"/>
                <w:color w:val="auto"/>
                <w:sz w:val="18"/>
                <w:szCs w:val="18"/>
                <w:highlight w:val="none"/>
              </w:rPr>
              <w:t>14.可溶性重金属镉含量：未检出。</w:t>
            </w:r>
            <w:r>
              <w:rPr>
                <w:rFonts w:hint="eastAsia" w:hAnsi="宋体" w:cs="宋体"/>
                <w:color w:val="auto"/>
                <w:sz w:val="18"/>
                <w:szCs w:val="18"/>
                <w:highlight w:val="none"/>
              </w:rPr>
              <w:br w:type="textWrapping"/>
            </w:r>
            <w:r>
              <w:rPr>
                <w:rFonts w:hint="eastAsia" w:hAnsi="宋体" w:cs="宋体"/>
                <w:color w:val="auto"/>
                <w:sz w:val="18"/>
                <w:szCs w:val="18"/>
                <w:highlight w:val="none"/>
              </w:rPr>
              <w:t>15.挥发物含量:≤24g/㎡。</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32</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乒乓球挡板</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个</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 xml:space="preserve">60.00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规格：75×140cm</w:t>
            </w:r>
          </w:p>
        </w:tc>
      </w:tr>
      <w:tr>
        <w:tblPrEx>
          <w:tblCellMar>
            <w:top w:w="0" w:type="dxa"/>
            <w:left w:w="108" w:type="dxa"/>
            <w:bottom w:w="0" w:type="dxa"/>
            <w:right w:w="108" w:type="dxa"/>
          </w:tblCellMar>
        </w:tblPrEx>
        <w:trPr>
          <w:trHeight w:val="5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33</w:t>
            </w:r>
          </w:p>
        </w:tc>
        <w:tc>
          <w:tcPr>
            <w:tcW w:w="1276" w:type="dxa"/>
            <w:tcBorders>
              <w:top w:val="nil"/>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运动装饰画</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幅</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 xml:space="preserve">10.00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尺寸约100*70cm</w:t>
            </w:r>
          </w:p>
        </w:tc>
      </w:tr>
      <w:tr>
        <w:tblPrEx>
          <w:tblCellMar>
            <w:top w:w="0" w:type="dxa"/>
            <w:left w:w="108" w:type="dxa"/>
            <w:bottom w:w="0" w:type="dxa"/>
            <w:right w:w="108" w:type="dxa"/>
          </w:tblCellMar>
        </w:tblPrEx>
        <w:trPr>
          <w:trHeight w:val="266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34</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乒乓球专业LED灯具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盏</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r>
              <w:rPr>
                <w:rFonts w:hint="eastAsia" w:hAnsi="宋体" w:cs="宋体"/>
                <w:color w:val="auto"/>
                <w:sz w:val="18"/>
                <w:szCs w:val="18"/>
                <w:highlight w:val="none"/>
              </w:rPr>
              <w:t xml:space="preserve">15.00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灯具功率：80W±5W</w:t>
            </w:r>
            <w:r>
              <w:rPr>
                <w:rFonts w:hint="eastAsia" w:hAnsi="宋体" w:cs="宋体"/>
                <w:color w:val="auto"/>
                <w:sz w:val="18"/>
                <w:szCs w:val="18"/>
                <w:highlight w:val="none"/>
              </w:rPr>
              <w:br w:type="textWrapping"/>
            </w:r>
            <w:r>
              <w:rPr>
                <w:rFonts w:hint="eastAsia" w:hAnsi="宋体" w:cs="宋体"/>
                <w:color w:val="auto"/>
                <w:sz w:val="18"/>
                <w:szCs w:val="18"/>
                <w:highlight w:val="none"/>
              </w:rPr>
              <w:t>整灯光通量：不小于8000Lm，灯具效率：≧100lm/W</w:t>
            </w:r>
            <w:r>
              <w:rPr>
                <w:rFonts w:hint="eastAsia" w:hAnsi="宋体" w:cs="宋体"/>
                <w:color w:val="auto"/>
                <w:sz w:val="18"/>
                <w:szCs w:val="18"/>
                <w:highlight w:val="none"/>
              </w:rPr>
              <w:br w:type="textWrapping"/>
            </w:r>
            <w:r>
              <w:rPr>
                <w:rFonts w:hint="eastAsia" w:hAnsi="宋体" w:cs="宋体"/>
                <w:color w:val="auto"/>
                <w:sz w:val="18"/>
                <w:szCs w:val="18"/>
                <w:highlight w:val="none"/>
              </w:rPr>
              <w:t>防护等级：IP50</w:t>
            </w:r>
            <w:r>
              <w:rPr>
                <w:rFonts w:hint="eastAsia" w:hAnsi="宋体" w:cs="宋体"/>
                <w:color w:val="auto"/>
                <w:sz w:val="18"/>
                <w:szCs w:val="18"/>
                <w:highlight w:val="none"/>
              </w:rPr>
              <w:br w:type="textWrapping"/>
            </w:r>
            <w:r>
              <w:rPr>
                <w:rFonts w:hint="eastAsia" w:hAnsi="宋体" w:cs="宋体"/>
                <w:color w:val="auto"/>
                <w:sz w:val="18"/>
                <w:szCs w:val="18"/>
                <w:highlight w:val="none"/>
              </w:rPr>
              <w:t>温度范围：-30℃～+50℃，湿度范围：10%-95%，设计寿命：≧50000H</w:t>
            </w:r>
            <w:r>
              <w:rPr>
                <w:rFonts w:hint="eastAsia" w:hAnsi="宋体" w:cs="宋体"/>
                <w:color w:val="auto"/>
                <w:sz w:val="18"/>
                <w:szCs w:val="18"/>
                <w:highlight w:val="none"/>
              </w:rPr>
              <w:br w:type="textWrapping"/>
            </w:r>
            <w:r>
              <w:rPr>
                <w:rFonts w:hint="eastAsia" w:hAnsi="宋体" w:cs="宋体"/>
                <w:color w:val="auto"/>
                <w:sz w:val="18"/>
                <w:szCs w:val="18"/>
                <w:highlight w:val="none"/>
              </w:rPr>
              <w:t>LED光源须为进口光源，散热器须为圆形结构，采用6063-T5铝型材，SMD封装；色温：4000-5000K；</w:t>
            </w:r>
            <w:r>
              <w:rPr>
                <w:rFonts w:hint="eastAsia" w:hAnsi="宋体" w:cs="宋体"/>
                <w:color w:val="auto"/>
                <w:sz w:val="18"/>
                <w:szCs w:val="18"/>
                <w:highlight w:val="none"/>
              </w:rPr>
              <w:br w:type="textWrapping"/>
            </w:r>
            <w:r>
              <w:rPr>
                <w:rFonts w:hint="eastAsia" w:hAnsi="宋体" w:cs="宋体"/>
                <w:color w:val="auto"/>
                <w:sz w:val="18"/>
                <w:szCs w:val="18"/>
                <w:highlight w:val="none"/>
              </w:rPr>
              <w:t>灯具须做防眩光处理；灯具功率因数须大于0.95；灯具每年光衰不大于10%。</w:t>
            </w:r>
          </w:p>
        </w:tc>
      </w:tr>
      <w:tr>
        <w:tblPrEx>
          <w:tblCellMar>
            <w:top w:w="0" w:type="dxa"/>
            <w:left w:w="108" w:type="dxa"/>
            <w:bottom w:w="0" w:type="dxa"/>
            <w:right w:w="108" w:type="dxa"/>
          </w:tblCellMar>
        </w:tblPrEx>
        <w:trPr>
          <w:trHeight w:val="700"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auto"/>
                <w:sz w:val="18"/>
                <w:szCs w:val="18"/>
                <w:highlight w:val="none"/>
              </w:rPr>
            </w:pPr>
            <w:r>
              <w:rPr>
                <w:rFonts w:hint="eastAsia" w:hAnsi="宋体" w:cs="宋体"/>
                <w:color w:val="auto"/>
                <w:sz w:val="18"/>
                <w:szCs w:val="18"/>
                <w:highlight w:val="none"/>
              </w:rPr>
              <w:t xml:space="preserve">     总计</w:t>
            </w:r>
          </w:p>
        </w:tc>
        <w:tc>
          <w:tcPr>
            <w:tcW w:w="319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18"/>
                <w:szCs w:val="18"/>
                <w:highlight w:val="none"/>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b/>
                <w:bCs/>
                <w:color w:val="auto"/>
                <w:sz w:val="18"/>
                <w:szCs w:val="18"/>
                <w:highlight w:val="none"/>
              </w:rPr>
            </w:pPr>
          </w:p>
        </w:tc>
      </w:tr>
    </w:tbl>
    <w:p>
      <w:pPr>
        <w:spacing w:before="156" w:beforeLines="50" w:after="156" w:afterLines="50" w:line="360" w:lineRule="auto"/>
        <w:ind w:firstLine="235" w:firstLineChars="98"/>
        <w:outlineLvl w:val="1"/>
        <w:rPr>
          <w:rFonts w:hAnsi="宋体" w:cs="宋体"/>
          <w:b/>
          <w:color w:val="auto"/>
          <w:szCs w:val="24"/>
          <w:highlight w:val="none"/>
        </w:rPr>
      </w:pPr>
      <w:r>
        <w:rPr>
          <w:rFonts w:hint="eastAsia" w:hAnsi="宋体" w:cs="宋体"/>
          <w:bCs/>
          <w:color w:val="auto"/>
          <w:szCs w:val="24"/>
          <w:highlight w:val="none"/>
        </w:rPr>
        <w:br w:type="page"/>
      </w:r>
      <w:bookmarkStart w:id="201" w:name="_Toc438648626"/>
      <w:bookmarkStart w:id="202" w:name="_Toc28982"/>
      <w:bookmarkStart w:id="203" w:name="_Toc1558"/>
      <w:bookmarkStart w:id="204" w:name="_Toc499"/>
      <w:bookmarkStart w:id="205" w:name="_Toc24071"/>
      <w:bookmarkStart w:id="206" w:name="_Toc148501700"/>
      <w:r>
        <w:rPr>
          <w:rFonts w:hint="eastAsia" w:hAnsi="宋体" w:cs="宋体"/>
          <w:b/>
          <w:color w:val="auto"/>
          <w:szCs w:val="24"/>
          <w:highlight w:val="none"/>
        </w:rPr>
        <w:t>附件</w:t>
      </w:r>
      <w:bookmarkEnd w:id="201"/>
      <w:r>
        <w:rPr>
          <w:rFonts w:hint="eastAsia" w:hAnsi="宋体" w:cs="宋体"/>
          <w:b/>
          <w:color w:val="auto"/>
          <w:szCs w:val="24"/>
          <w:highlight w:val="none"/>
        </w:rPr>
        <w:t>六</w:t>
      </w:r>
      <w:bookmarkEnd w:id="202"/>
      <w:bookmarkEnd w:id="203"/>
      <w:bookmarkEnd w:id="204"/>
      <w:bookmarkEnd w:id="205"/>
    </w:p>
    <w:bookmarkEnd w:id="206"/>
    <w:p>
      <w:pPr>
        <w:spacing w:line="480" w:lineRule="auto"/>
        <w:jc w:val="center"/>
        <w:rPr>
          <w:rFonts w:hAnsi="宋体" w:cs="宋体"/>
          <w:b/>
          <w:color w:val="auto"/>
          <w:szCs w:val="24"/>
          <w:highlight w:val="none"/>
        </w:rPr>
      </w:pPr>
      <w:r>
        <w:rPr>
          <w:rFonts w:hint="eastAsia" w:hAnsi="宋体" w:cs="宋体"/>
          <w:b/>
          <w:color w:val="auto"/>
          <w:szCs w:val="24"/>
          <w:highlight w:val="none"/>
        </w:rPr>
        <w:t>供应商承诺函</w:t>
      </w:r>
    </w:p>
    <w:p>
      <w:pPr>
        <w:spacing w:line="360" w:lineRule="auto"/>
        <w:rPr>
          <w:rFonts w:hAnsi="宋体" w:cs="宋体"/>
          <w:bCs/>
          <w:color w:val="auto"/>
          <w:szCs w:val="24"/>
          <w:highlight w:val="none"/>
          <w:u w:val="single"/>
        </w:rPr>
      </w:pPr>
      <w:r>
        <w:rPr>
          <w:rFonts w:hint="eastAsia" w:hAnsi="宋体" w:cs="宋体"/>
          <w:bCs/>
          <w:color w:val="auto"/>
          <w:szCs w:val="24"/>
          <w:highlight w:val="none"/>
        </w:rPr>
        <w:t>致：</w:t>
      </w:r>
      <w:r>
        <w:rPr>
          <w:rFonts w:hint="eastAsia" w:hAnsi="宋体" w:cs="宋体"/>
          <w:color w:val="auto"/>
          <w:szCs w:val="18"/>
          <w:highlight w:val="none"/>
          <w:u w:val="single"/>
        </w:rPr>
        <w:t>中水淮河规划设计研究有限公司</w:t>
      </w:r>
    </w:p>
    <w:p>
      <w:pPr>
        <w:spacing w:line="360" w:lineRule="auto"/>
        <w:ind w:firstLine="480" w:firstLineChars="200"/>
        <w:rPr>
          <w:rFonts w:hAnsi="宋体" w:cs="宋体"/>
          <w:bCs/>
          <w:color w:val="auto"/>
          <w:szCs w:val="24"/>
          <w:highlight w:val="none"/>
        </w:rPr>
      </w:pPr>
    </w:p>
    <w:p>
      <w:pPr>
        <w:spacing w:line="360" w:lineRule="auto"/>
        <w:ind w:firstLine="480" w:firstLineChars="200"/>
        <w:rPr>
          <w:rFonts w:hAnsi="宋体" w:cs="宋体"/>
          <w:bCs/>
          <w:color w:val="auto"/>
          <w:szCs w:val="24"/>
          <w:highlight w:val="none"/>
        </w:rPr>
      </w:pPr>
      <w:r>
        <w:rPr>
          <w:rFonts w:hint="eastAsia" w:hAnsi="宋体" w:cs="宋体"/>
          <w:bCs/>
          <w:color w:val="auto"/>
          <w:szCs w:val="24"/>
          <w:highlight w:val="none"/>
        </w:rPr>
        <w:t>本公司参与</w:t>
      </w:r>
      <w:r>
        <w:rPr>
          <w:rFonts w:hint="eastAsia" w:hAnsi="宋体" w:cs="宋体"/>
          <w:color w:val="auto"/>
          <w:szCs w:val="18"/>
          <w:highlight w:val="none"/>
          <w:u w:val="single"/>
        </w:rPr>
        <w:t>中水淮河规划设计研究有限公司员工活动中心项目</w:t>
      </w:r>
      <w:r>
        <w:rPr>
          <w:rFonts w:hint="eastAsia" w:hAnsi="宋体" w:cs="宋体"/>
          <w:bCs/>
          <w:color w:val="auto"/>
          <w:szCs w:val="24"/>
          <w:highlight w:val="none"/>
        </w:rPr>
        <w:t>的询比，现郑重承诺如下：</w:t>
      </w:r>
    </w:p>
    <w:p>
      <w:pPr>
        <w:adjustRightInd w:val="0"/>
        <w:snapToGrid w:val="0"/>
        <w:spacing w:line="360" w:lineRule="auto"/>
        <w:ind w:firstLine="480" w:firstLineChars="200"/>
        <w:rPr>
          <w:rFonts w:hAnsi="宋体" w:cs="宋体"/>
          <w:bCs/>
          <w:color w:val="auto"/>
          <w:szCs w:val="24"/>
          <w:highlight w:val="none"/>
        </w:rPr>
      </w:pPr>
      <w:r>
        <w:rPr>
          <w:rFonts w:hint="eastAsia" w:hAnsi="宋体" w:cs="宋体"/>
          <w:bCs/>
          <w:color w:val="auto"/>
          <w:szCs w:val="24"/>
          <w:highlight w:val="none"/>
        </w:rPr>
        <w:t>一、本公司承诺对正常运行及经营的合法性、真实性及有效性负完全责任，并随时无条件配合采购人对本公司营业执照有效性进一步核查。</w:t>
      </w:r>
    </w:p>
    <w:p>
      <w:pPr>
        <w:adjustRightInd w:val="0"/>
        <w:snapToGrid w:val="0"/>
        <w:spacing w:line="360" w:lineRule="auto"/>
        <w:ind w:firstLine="480" w:firstLineChars="200"/>
        <w:rPr>
          <w:rFonts w:hAnsi="宋体" w:cs="宋体"/>
          <w:bCs/>
          <w:color w:val="auto"/>
          <w:szCs w:val="24"/>
          <w:highlight w:val="none"/>
        </w:rPr>
      </w:pPr>
      <w:r>
        <w:rPr>
          <w:rFonts w:hint="eastAsia" w:hAnsi="宋体" w:cs="宋体"/>
          <w:bCs/>
          <w:color w:val="auto"/>
          <w:szCs w:val="24"/>
          <w:highlight w:val="none"/>
        </w:rPr>
        <w:t>二、</w:t>
      </w:r>
      <w:r>
        <w:rPr>
          <w:rFonts w:hint="eastAsia" w:hAnsi="宋体" w:cs="宋体"/>
          <w:color w:val="auto"/>
          <w:szCs w:val="18"/>
          <w:highlight w:val="none"/>
        </w:rPr>
        <w:t>严格按照询比采购文件要求，提供符合国家标准、设计标准、质量合格的产品。</w:t>
      </w:r>
    </w:p>
    <w:p>
      <w:pPr>
        <w:adjustRightInd w:val="0"/>
        <w:snapToGrid w:val="0"/>
        <w:spacing w:line="360" w:lineRule="auto"/>
        <w:ind w:firstLine="480" w:firstLineChars="200"/>
        <w:rPr>
          <w:rFonts w:hAnsi="宋体" w:cs="宋体"/>
          <w:color w:val="auto"/>
          <w:szCs w:val="18"/>
          <w:highlight w:val="none"/>
        </w:rPr>
      </w:pPr>
      <w:r>
        <w:rPr>
          <w:rFonts w:hint="eastAsia" w:hAnsi="宋体" w:cs="宋体"/>
          <w:color w:val="auto"/>
          <w:szCs w:val="24"/>
          <w:highlight w:val="none"/>
        </w:rPr>
        <w:t>三、</w:t>
      </w:r>
      <w:r>
        <w:rPr>
          <w:rFonts w:hint="eastAsia" w:hAnsi="宋体" w:cs="宋体"/>
          <w:color w:val="auto"/>
          <w:szCs w:val="18"/>
          <w:highlight w:val="none"/>
        </w:rPr>
        <w:t>我公司在本次询比中所列产品均严格按照国家三包标准执行，严格按照厂家提供质保期进行质保。</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四、我公司严格按照询比采购文件质保期要求执行。</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五、本公司在本项目询比有效期内，在本项目所在区域未存在因质量事故、安全事故等市场不良行为等被限制询比资格行为，且处于处罚期内的情况。</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六、本公司近一年来，在项目所在地未出现被相关行业主管部门限制参加询比资格。</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七、本公司近一年来未受到在市场行为、质量、安全等方面被市级及以上行业管理部门处罚的情况。</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八、本公司承诺，本次询比所提供材料均真实有效。</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九、本公司承诺本项目为本公司自愿参加询比，授权委托人为本公司人员，并随时无条件配合贵方调查取证。</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十、本公司承诺一旦贵方确认本公司成交，本公司将在询比采购文件规定时间内缴纳相关费用、领取成交通知书，并与采购人联系并签订合同，组织进场事宜，否则贵单位有权取消本公司成交资格。</w:t>
      </w:r>
    </w:p>
    <w:p>
      <w:pPr>
        <w:adjustRightInd w:val="0"/>
        <w:snapToGrid w:val="0"/>
        <w:spacing w:line="360" w:lineRule="auto"/>
        <w:jc w:val="right"/>
        <w:rPr>
          <w:rFonts w:hAnsi="宋体" w:cs="宋体"/>
          <w:color w:val="auto"/>
          <w:szCs w:val="24"/>
          <w:highlight w:val="none"/>
        </w:rPr>
      </w:pPr>
    </w:p>
    <w:p>
      <w:pPr>
        <w:adjustRightInd w:val="0"/>
        <w:snapToGrid w:val="0"/>
        <w:spacing w:line="360" w:lineRule="auto"/>
        <w:jc w:val="right"/>
        <w:rPr>
          <w:rFonts w:hAnsi="宋体" w:cs="宋体"/>
          <w:color w:val="auto"/>
          <w:szCs w:val="24"/>
          <w:highlight w:val="none"/>
          <w:u w:val="single"/>
        </w:rPr>
      </w:pPr>
      <w:r>
        <w:rPr>
          <w:rFonts w:hint="eastAsia" w:hAnsi="宋体" w:cs="宋体"/>
          <w:color w:val="auto"/>
          <w:szCs w:val="24"/>
          <w:highlight w:val="none"/>
        </w:rPr>
        <w:t>供应商：</w:t>
      </w:r>
      <w:r>
        <w:rPr>
          <w:rFonts w:hint="eastAsia" w:hAnsi="宋体" w:cs="宋体"/>
          <w:color w:val="auto"/>
          <w:szCs w:val="24"/>
          <w:highlight w:val="none"/>
          <w:u w:val="single"/>
        </w:rPr>
        <w:t xml:space="preserve">      名称    （盖公章）</w:t>
      </w:r>
    </w:p>
    <w:p>
      <w:pPr>
        <w:adjustRightInd w:val="0"/>
        <w:snapToGrid w:val="0"/>
        <w:spacing w:line="360" w:lineRule="auto"/>
        <w:jc w:val="right"/>
        <w:rPr>
          <w:rFonts w:hAnsi="宋体" w:cs="宋体"/>
          <w:color w:val="auto"/>
          <w:szCs w:val="24"/>
          <w:highlight w:val="none"/>
          <w:u w:val="single"/>
        </w:rPr>
      </w:pPr>
      <w:r>
        <w:rPr>
          <w:rFonts w:hint="eastAsia" w:hAnsi="宋体" w:cs="宋体"/>
          <w:color w:val="auto"/>
          <w:szCs w:val="24"/>
          <w:highlight w:val="none"/>
        </w:rPr>
        <w:t>法定代表人：</w:t>
      </w:r>
      <w:r>
        <w:rPr>
          <w:rFonts w:hint="eastAsia" w:hAnsi="宋体" w:cs="宋体"/>
          <w:color w:val="auto"/>
          <w:szCs w:val="24"/>
          <w:highlight w:val="none"/>
          <w:u w:val="single"/>
        </w:rPr>
        <w:t xml:space="preserve">            签字或盖章</w:t>
      </w:r>
    </w:p>
    <w:p>
      <w:pPr>
        <w:tabs>
          <w:tab w:val="left" w:pos="4620"/>
        </w:tabs>
        <w:spacing w:line="360" w:lineRule="auto"/>
        <w:rPr>
          <w:rFonts w:hAnsi="宋体" w:cs="宋体"/>
          <w:b/>
          <w:color w:val="auto"/>
          <w:szCs w:val="24"/>
          <w:highlight w:val="none"/>
        </w:rPr>
      </w:pPr>
      <w:r>
        <w:rPr>
          <w:rFonts w:hint="eastAsia" w:hAnsi="宋体" w:cs="宋体"/>
          <w:bCs/>
          <w:color w:val="auto"/>
          <w:szCs w:val="24"/>
          <w:highlight w:val="none"/>
        </w:rPr>
        <w:br w:type="page"/>
      </w:r>
      <w:bookmarkStart w:id="207" w:name="_Toc24560"/>
      <w:bookmarkStart w:id="208" w:name="_Toc16357"/>
      <w:bookmarkStart w:id="209" w:name="_Toc4698"/>
      <w:bookmarkStart w:id="210" w:name="_Toc438648630"/>
      <w:bookmarkStart w:id="211" w:name="_Toc433835936"/>
      <w:r>
        <w:rPr>
          <w:rFonts w:hint="eastAsia" w:hAnsi="宋体" w:cs="宋体"/>
          <w:b/>
          <w:color w:val="auto"/>
          <w:szCs w:val="24"/>
          <w:highlight w:val="none"/>
        </w:rPr>
        <w:t>附件</w:t>
      </w:r>
      <w:bookmarkEnd w:id="207"/>
      <w:bookmarkEnd w:id="208"/>
      <w:bookmarkEnd w:id="209"/>
      <w:r>
        <w:rPr>
          <w:rFonts w:hint="eastAsia" w:hAnsi="宋体" w:cs="宋体"/>
          <w:b/>
          <w:color w:val="auto"/>
          <w:szCs w:val="24"/>
          <w:highlight w:val="none"/>
        </w:rPr>
        <w:t>七</w:t>
      </w:r>
    </w:p>
    <w:p>
      <w:pPr>
        <w:spacing w:line="360" w:lineRule="auto"/>
        <w:jc w:val="center"/>
        <w:rPr>
          <w:rFonts w:hAnsi="宋体" w:cs="宋体"/>
          <w:b/>
          <w:color w:val="auto"/>
          <w:szCs w:val="24"/>
          <w:highlight w:val="none"/>
        </w:rPr>
      </w:pPr>
      <w:r>
        <w:rPr>
          <w:rFonts w:hint="eastAsia" w:hAnsi="宋体" w:cs="仿宋_GB2312"/>
          <w:b/>
          <w:color w:val="auto"/>
          <w:sz w:val="28"/>
          <w:szCs w:val="28"/>
          <w:highlight w:val="none"/>
        </w:rPr>
        <w:t>无不良记录承诺函</w:t>
      </w:r>
    </w:p>
    <w:p>
      <w:pPr>
        <w:spacing w:line="360" w:lineRule="auto"/>
        <w:ind w:firstLine="435"/>
        <w:rPr>
          <w:rFonts w:hAnsi="宋体"/>
          <w:color w:val="auto"/>
          <w:highlight w:val="none"/>
        </w:rPr>
      </w:pPr>
      <w:r>
        <w:rPr>
          <w:rFonts w:hint="eastAsia" w:hAnsi="宋体"/>
          <w:color w:val="auto"/>
          <w:highlight w:val="none"/>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auto"/>
          <w:highlight w:val="none"/>
        </w:rPr>
      </w:pPr>
      <w:r>
        <w:rPr>
          <w:rFonts w:hint="eastAsia"/>
          <w:color w:val="auto"/>
          <w:highlight w:val="none"/>
        </w:rPr>
        <w:t>2、</w:t>
      </w:r>
      <w:r>
        <w:rPr>
          <w:rFonts w:hint="eastAsia" w:hAnsi="宋体"/>
          <w:color w:val="auto"/>
          <w:highlight w:val="none"/>
        </w:rPr>
        <w:t>本公司郑重声明，本公司无以下不良信用记录情形：</w:t>
      </w:r>
    </w:p>
    <w:p>
      <w:pPr>
        <w:spacing w:line="360" w:lineRule="auto"/>
        <w:ind w:firstLine="435"/>
        <w:rPr>
          <w:rFonts w:hAnsi="宋体"/>
          <w:color w:val="auto"/>
          <w:highlight w:val="none"/>
        </w:rPr>
      </w:pPr>
      <w:r>
        <w:rPr>
          <w:rFonts w:hint="eastAsia" w:hAnsi="宋体"/>
          <w:color w:val="auto"/>
          <w:highlight w:val="none"/>
        </w:rPr>
        <w:t>（1）公司被人民法院列入失信被执行人；</w:t>
      </w:r>
    </w:p>
    <w:p>
      <w:pPr>
        <w:spacing w:line="360" w:lineRule="auto"/>
        <w:ind w:firstLine="435"/>
        <w:rPr>
          <w:rFonts w:hAnsi="宋体"/>
          <w:color w:val="auto"/>
          <w:highlight w:val="none"/>
        </w:rPr>
      </w:pPr>
      <w:r>
        <w:rPr>
          <w:rFonts w:hint="eastAsia" w:hAnsi="宋体"/>
          <w:color w:val="auto"/>
          <w:highlight w:val="none"/>
        </w:rPr>
        <w:t>（2）公司、法定代表人被人民检察院列入行贿犯罪档案；</w:t>
      </w:r>
    </w:p>
    <w:p>
      <w:pPr>
        <w:spacing w:line="360" w:lineRule="auto"/>
        <w:ind w:firstLine="435"/>
        <w:rPr>
          <w:rFonts w:hAnsi="宋体"/>
          <w:color w:val="auto"/>
          <w:highlight w:val="none"/>
        </w:rPr>
      </w:pPr>
      <w:r>
        <w:rPr>
          <w:rFonts w:hint="eastAsia" w:hAnsi="宋体"/>
          <w:color w:val="auto"/>
          <w:highlight w:val="none"/>
        </w:rPr>
        <w:t>（3）公司被市场监督管理部门（含工商行政管理部门）列入企业经营异常名录；</w:t>
      </w:r>
    </w:p>
    <w:p>
      <w:pPr>
        <w:spacing w:line="360" w:lineRule="auto"/>
        <w:ind w:firstLine="435"/>
        <w:rPr>
          <w:rFonts w:hAnsi="宋体"/>
          <w:color w:val="auto"/>
          <w:highlight w:val="none"/>
        </w:rPr>
      </w:pPr>
      <w:r>
        <w:rPr>
          <w:rFonts w:hint="eastAsia" w:hAnsi="宋体"/>
          <w:color w:val="auto"/>
          <w:highlight w:val="none"/>
        </w:rPr>
        <w:t>（4）公司被税务部门列入重大税收违法案件当事人名单的。</w:t>
      </w:r>
    </w:p>
    <w:p>
      <w:pPr>
        <w:spacing w:line="360" w:lineRule="auto"/>
        <w:ind w:firstLine="435"/>
        <w:rPr>
          <w:rFonts w:hAnsi="宋体"/>
          <w:color w:val="auto"/>
          <w:highlight w:val="none"/>
        </w:rPr>
      </w:pPr>
      <w:r>
        <w:rPr>
          <w:rFonts w:hint="eastAsia" w:hAnsi="宋体"/>
          <w:color w:val="auto"/>
          <w:highlight w:val="none"/>
        </w:rPr>
        <w:t>（5）公司被政府采购监管部门列入政府采购严重违法失信行为记录名单。</w:t>
      </w:r>
    </w:p>
    <w:p>
      <w:pPr>
        <w:spacing w:line="360" w:lineRule="auto"/>
        <w:ind w:firstLine="435"/>
        <w:rPr>
          <w:color w:val="auto"/>
          <w:highlight w:val="none"/>
        </w:rPr>
      </w:pPr>
      <w:r>
        <w:rPr>
          <w:rFonts w:hint="eastAsia" w:hAnsi="宋体"/>
          <w:b/>
          <w:color w:val="auto"/>
          <w:highlight w:val="none"/>
        </w:rPr>
        <w:t>本公司</w:t>
      </w:r>
      <w:r>
        <w:rPr>
          <w:rFonts w:hAnsi="宋体"/>
          <w:b/>
          <w:color w:val="auto"/>
          <w:highlight w:val="none"/>
        </w:rPr>
        <w:t>已就上述不良信用行为按照</w:t>
      </w:r>
      <w:r>
        <w:rPr>
          <w:rFonts w:hint="eastAsia" w:hAnsi="宋体"/>
          <w:b/>
          <w:color w:val="auto"/>
          <w:highlight w:val="none"/>
        </w:rPr>
        <w:t>询比采购文件</w:t>
      </w:r>
      <w:r>
        <w:rPr>
          <w:rFonts w:hAnsi="宋体"/>
          <w:b/>
          <w:color w:val="auto"/>
          <w:highlight w:val="none"/>
        </w:rPr>
        <w:t>中供应商须知前附表规定进行了查询。</w:t>
      </w:r>
      <w:r>
        <w:rPr>
          <w:rFonts w:hint="eastAsia" w:hAnsi="宋体"/>
          <w:color w:val="auto"/>
          <w:highlight w:val="none"/>
        </w:rPr>
        <w:t>本公司</w:t>
      </w:r>
      <w:r>
        <w:rPr>
          <w:rFonts w:hAnsi="宋体"/>
          <w:color w:val="auto"/>
          <w:highlight w:val="none"/>
        </w:rPr>
        <w:t>承诺</w:t>
      </w:r>
      <w:r>
        <w:rPr>
          <w:rFonts w:hint="eastAsia" w:hAnsi="宋体"/>
          <w:color w:val="auto"/>
          <w:highlight w:val="none"/>
        </w:rPr>
        <w:t>：</w:t>
      </w:r>
      <w:r>
        <w:rPr>
          <w:rFonts w:hAnsi="宋体"/>
          <w:color w:val="auto"/>
          <w:highlight w:val="none"/>
        </w:rPr>
        <w:t>合同签订前</w:t>
      </w:r>
      <w:r>
        <w:rPr>
          <w:rFonts w:hint="eastAsia" w:hAnsi="宋体"/>
          <w:color w:val="auto"/>
          <w:highlight w:val="none"/>
        </w:rPr>
        <w:t>，</w:t>
      </w:r>
      <w:r>
        <w:rPr>
          <w:rFonts w:hAnsi="宋体"/>
          <w:color w:val="auto"/>
          <w:highlight w:val="none"/>
        </w:rPr>
        <w:t>若</w:t>
      </w:r>
      <w:r>
        <w:rPr>
          <w:rFonts w:hint="eastAsia" w:hAnsi="宋体"/>
          <w:color w:val="auto"/>
          <w:highlight w:val="none"/>
        </w:rPr>
        <w:t>本公司</w:t>
      </w:r>
      <w:r>
        <w:rPr>
          <w:rFonts w:hAnsi="宋体"/>
          <w:color w:val="auto"/>
          <w:highlight w:val="none"/>
        </w:rPr>
        <w:t>具有不良信用记录情形</w:t>
      </w:r>
      <w:r>
        <w:rPr>
          <w:rFonts w:hint="eastAsia" w:hAnsi="宋体"/>
          <w:color w:val="auto"/>
          <w:highlight w:val="none"/>
        </w:rPr>
        <w:t>，</w:t>
      </w:r>
      <w:r>
        <w:rPr>
          <w:rFonts w:hAnsi="宋体"/>
          <w:color w:val="auto"/>
          <w:highlight w:val="none"/>
        </w:rPr>
        <w:t>贵方可取消</w:t>
      </w:r>
      <w:r>
        <w:rPr>
          <w:rFonts w:hint="eastAsia" w:hAnsi="宋体"/>
          <w:color w:val="auto"/>
          <w:highlight w:val="none"/>
        </w:rPr>
        <w:t>本公司成交</w:t>
      </w:r>
      <w:r>
        <w:rPr>
          <w:rFonts w:hAnsi="宋体"/>
          <w:color w:val="auto"/>
          <w:highlight w:val="none"/>
        </w:rPr>
        <w:t>资格或者不授予合同</w:t>
      </w:r>
      <w:r>
        <w:rPr>
          <w:rFonts w:hint="eastAsia" w:hAnsi="宋体"/>
          <w:color w:val="auto"/>
          <w:highlight w:val="none"/>
        </w:rPr>
        <w:t>，</w:t>
      </w:r>
      <w:r>
        <w:rPr>
          <w:rFonts w:hAnsi="宋体"/>
          <w:color w:val="auto"/>
          <w:highlight w:val="none"/>
        </w:rPr>
        <w:t>所有责任由</w:t>
      </w:r>
      <w:r>
        <w:rPr>
          <w:rFonts w:hint="eastAsia" w:hAnsi="宋体"/>
          <w:color w:val="auto"/>
          <w:highlight w:val="none"/>
        </w:rPr>
        <w:t>本公司</w:t>
      </w:r>
      <w:r>
        <w:rPr>
          <w:rFonts w:hAnsi="宋体"/>
          <w:color w:val="auto"/>
          <w:highlight w:val="none"/>
        </w:rPr>
        <w:t>自行承担。同时</w:t>
      </w:r>
      <w:r>
        <w:rPr>
          <w:rFonts w:hint="eastAsia" w:hAnsi="宋体"/>
          <w:color w:val="auto"/>
          <w:highlight w:val="none"/>
        </w:rPr>
        <w:t>，本公司</w:t>
      </w:r>
      <w:r>
        <w:rPr>
          <w:rFonts w:hAnsi="宋体"/>
          <w:color w:val="auto"/>
          <w:highlight w:val="none"/>
        </w:rPr>
        <w:t>愿意无条件接受监管部门的调查处理。</w:t>
      </w:r>
    </w:p>
    <w:p>
      <w:pPr>
        <w:spacing w:line="360" w:lineRule="auto"/>
        <w:ind w:firstLine="435"/>
        <w:rPr>
          <w:rFonts w:hAnsi="宋体"/>
          <w:color w:val="auto"/>
          <w:highlight w:val="none"/>
        </w:rPr>
      </w:pPr>
      <w:r>
        <w:rPr>
          <w:rFonts w:hint="eastAsia" w:hAnsi="宋体"/>
          <w:color w:val="auto"/>
          <w:highlight w:val="none"/>
        </w:rPr>
        <w:t>本公司对上述声明的真实性负责。如有虚假，将依法承担相应责任。</w:t>
      </w:r>
    </w:p>
    <w:p>
      <w:pPr>
        <w:spacing w:line="360" w:lineRule="auto"/>
        <w:ind w:firstLine="4228" w:firstLineChars="1762"/>
        <w:rPr>
          <w:rFonts w:hAnsi="宋体"/>
          <w:color w:val="auto"/>
          <w:highlight w:val="none"/>
        </w:rPr>
      </w:pPr>
    </w:p>
    <w:p>
      <w:pPr>
        <w:spacing w:line="360" w:lineRule="auto"/>
        <w:ind w:firstLine="4228" w:firstLineChars="1762"/>
        <w:rPr>
          <w:color w:val="auto"/>
          <w:highlight w:val="none"/>
          <w:u w:val="single"/>
        </w:rPr>
      </w:pPr>
      <w:r>
        <w:rPr>
          <w:rFonts w:hint="eastAsia" w:hAnsi="宋体"/>
          <w:color w:val="auto"/>
          <w:highlight w:val="none"/>
        </w:rPr>
        <w:t>供应商公章：</w:t>
      </w:r>
      <w:r>
        <w:rPr>
          <w:rFonts w:hAnsi="宋体"/>
          <w:color w:val="auto"/>
          <w:highlight w:val="none"/>
          <w:u w:val="single"/>
        </w:rPr>
        <w:t xml:space="preserve">                       </w:t>
      </w:r>
    </w:p>
    <w:p>
      <w:pPr>
        <w:tabs>
          <w:tab w:val="left" w:pos="630"/>
        </w:tabs>
        <w:spacing w:line="360" w:lineRule="auto"/>
        <w:ind w:firstLine="4228" w:firstLineChars="1762"/>
        <w:rPr>
          <w:color w:val="auto"/>
          <w:highlight w:val="non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pPr>
        <w:tabs>
          <w:tab w:val="left" w:pos="630"/>
        </w:tabs>
        <w:spacing w:line="360" w:lineRule="auto"/>
        <w:ind w:firstLine="630"/>
        <w:rPr>
          <w:rFonts w:hAnsi="宋体"/>
          <w:color w:val="auto"/>
          <w:highlight w:val="none"/>
        </w:rPr>
      </w:pPr>
    </w:p>
    <w:p>
      <w:pPr>
        <w:tabs>
          <w:tab w:val="left" w:pos="630"/>
        </w:tabs>
        <w:spacing w:line="360" w:lineRule="auto"/>
        <w:ind w:firstLine="630"/>
        <w:rPr>
          <w:rFonts w:hAnsi="宋体"/>
          <w:color w:val="auto"/>
          <w:highlight w:val="none"/>
        </w:rPr>
        <w:sectPr>
          <w:footerReference r:id="rId15" w:type="first"/>
          <w:headerReference r:id="rId13" w:type="default"/>
          <w:footerReference r:id="rId14" w:type="default"/>
          <w:pgSz w:w="11906" w:h="16838"/>
          <w:pgMar w:top="1134" w:right="1134" w:bottom="1134" w:left="1134" w:header="851" w:footer="992" w:gutter="0"/>
          <w:cols w:space="720" w:num="1"/>
          <w:titlePg/>
          <w:docGrid w:type="lines" w:linePitch="312" w:charSpace="0"/>
        </w:sectPr>
      </w:pPr>
    </w:p>
    <w:bookmarkEnd w:id="210"/>
    <w:bookmarkEnd w:id="211"/>
    <w:p>
      <w:pPr>
        <w:spacing w:line="360" w:lineRule="auto"/>
        <w:outlineLvl w:val="1"/>
        <w:rPr>
          <w:rFonts w:hAnsi="宋体" w:cs="宋体"/>
          <w:b/>
          <w:color w:val="auto"/>
          <w:szCs w:val="24"/>
          <w:highlight w:val="none"/>
        </w:rPr>
      </w:pPr>
      <w:bookmarkStart w:id="212" w:name="_Toc22700"/>
      <w:bookmarkStart w:id="213" w:name="_Toc18204"/>
      <w:bookmarkStart w:id="214" w:name="_Toc30678"/>
      <w:r>
        <w:rPr>
          <w:rFonts w:hint="eastAsia" w:hAnsi="宋体" w:cs="宋体"/>
          <w:b/>
          <w:color w:val="auto"/>
          <w:szCs w:val="24"/>
          <w:highlight w:val="none"/>
        </w:rPr>
        <w:t>附件</w:t>
      </w:r>
      <w:bookmarkEnd w:id="212"/>
      <w:bookmarkEnd w:id="213"/>
      <w:r>
        <w:rPr>
          <w:rFonts w:hint="eastAsia" w:hAnsi="宋体" w:cs="宋体"/>
          <w:b/>
          <w:color w:val="auto"/>
          <w:szCs w:val="24"/>
          <w:highlight w:val="none"/>
        </w:rPr>
        <w:t>七</w:t>
      </w:r>
      <w:bookmarkEnd w:id="214"/>
    </w:p>
    <w:p>
      <w:pPr>
        <w:adjustRightInd w:val="0"/>
        <w:snapToGrid w:val="0"/>
        <w:spacing w:line="440" w:lineRule="exact"/>
        <w:jc w:val="center"/>
        <w:rPr>
          <w:b/>
          <w:color w:val="auto"/>
          <w:sz w:val="32"/>
          <w:szCs w:val="32"/>
          <w:highlight w:val="none"/>
        </w:rPr>
      </w:pPr>
      <w:r>
        <w:rPr>
          <w:rFonts w:hint="eastAsia"/>
          <w:b/>
          <w:color w:val="auto"/>
          <w:sz w:val="32"/>
          <w:szCs w:val="32"/>
          <w:highlight w:val="none"/>
        </w:rPr>
        <w:t>一、施工组织设计（包括但不限于装饰相关部分、空调及新风系统、乒乓球专项器材安装及调试方案等）</w:t>
      </w:r>
    </w:p>
    <w:p>
      <w:pPr>
        <w:adjustRightInd w:val="0"/>
        <w:snapToGrid w:val="0"/>
        <w:spacing w:line="440" w:lineRule="exact"/>
        <w:jc w:val="center"/>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二、材料质量和环保性</w:t>
      </w:r>
    </w:p>
    <w:p>
      <w:pPr>
        <w:bidi w:val="0"/>
        <w:rPr>
          <w:rFonts w:hint="eastAsia"/>
        </w:rPr>
      </w:pPr>
      <w:r>
        <w:rPr>
          <w:rFonts w:hint="eastAsia"/>
        </w:rPr>
        <w:br w:type="page"/>
      </w:r>
    </w:p>
    <w:p>
      <w:pPr>
        <w:adjustRightInd w:val="0"/>
        <w:snapToGrid w:val="0"/>
        <w:spacing w:line="440" w:lineRule="exact"/>
        <w:jc w:val="center"/>
        <w:rPr>
          <w:rFonts w:hint="eastAsia"/>
          <w:b/>
          <w:color w:val="auto"/>
          <w:sz w:val="32"/>
          <w:szCs w:val="32"/>
          <w:highlight w:val="none"/>
        </w:rPr>
      </w:pPr>
      <w:r>
        <w:rPr>
          <w:rFonts w:hint="eastAsia"/>
          <w:b/>
          <w:color w:val="auto"/>
          <w:sz w:val="32"/>
          <w:szCs w:val="32"/>
          <w:highlight w:val="none"/>
        </w:rPr>
        <w:t>三、设计方案</w:t>
      </w:r>
    </w:p>
    <w:p>
      <w:pPr>
        <w:rPr>
          <w:rFonts w:hint="eastAsia" w:hAnsi="宋体" w:cs="宋体"/>
          <w:b/>
          <w:color w:val="auto"/>
          <w:szCs w:val="24"/>
          <w:highlight w:val="none"/>
        </w:rPr>
      </w:pPr>
      <w:bookmarkStart w:id="215" w:name="_Toc31169"/>
      <w:bookmarkStart w:id="216" w:name="_Toc25832"/>
      <w:r>
        <w:rPr>
          <w:rFonts w:hint="eastAsia" w:hAnsi="宋体" w:cs="宋体"/>
          <w:b/>
          <w:color w:val="auto"/>
          <w:szCs w:val="24"/>
          <w:highlight w:val="none"/>
        </w:rPr>
        <w:br w:type="page"/>
      </w:r>
    </w:p>
    <w:p>
      <w:pPr>
        <w:spacing w:line="360" w:lineRule="auto"/>
        <w:jc w:val="center"/>
        <w:outlineLvl w:val="1"/>
        <w:rPr>
          <w:rFonts w:hAnsi="宋体" w:cs="宋体"/>
          <w:b/>
          <w:color w:val="auto"/>
          <w:szCs w:val="24"/>
          <w:highlight w:val="none"/>
        </w:rPr>
      </w:pPr>
      <w:bookmarkStart w:id="217" w:name="_Toc3899"/>
      <w:r>
        <w:rPr>
          <w:rFonts w:hint="eastAsia" w:hAnsi="宋体" w:cs="宋体"/>
          <w:b/>
          <w:color w:val="auto"/>
          <w:szCs w:val="24"/>
          <w:highlight w:val="none"/>
        </w:rPr>
        <w:t>附件</w:t>
      </w:r>
      <w:bookmarkEnd w:id="215"/>
      <w:bookmarkEnd w:id="216"/>
      <w:r>
        <w:rPr>
          <w:rFonts w:hint="eastAsia" w:hAnsi="宋体" w:cs="宋体"/>
          <w:b/>
          <w:color w:val="auto"/>
          <w:szCs w:val="24"/>
          <w:highlight w:val="none"/>
        </w:rPr>
        <w:t>八</w:t>
      </w:r>
      <w:bookmarkEnd w:id="217"/>
    </w:p>
    <w:p>
      <w:pPr>
        <w:pStyle w:val="2"/>
        <w:rPr>
          <w:rFonts w:hAnsi="宋体" w:cs="宋体"/>
          <w:b/>
          <w:color w:val="auto"/>
          <w:szCs w:val="24"/>
          <w:highlight w:val="none"/>
        </w:rPr>
      </w:pPr>
    </w:p>
    <w:p>
      <w:pPr>
        <w:pStyle w:val="2"/>
        <w:rPr>
          <w:rFonts w:hAnsi="宋体" w:cs="宋体"/>
          <w:b/>
          <w:color w:val="auto"/>
          <w:szCs w:val="24"/>
          <w:highlight w:val="none"/>
        </w:rPr>
      </w:pPr>
      <w:r>
        <w:rPr>
          <w:rFonts w:hint="eastAsia"/>
          <w:b/>
          <w:color w:val="auto"/>
          <w:sz w:val="32"/>
          <w:szCs w:val="32"/>
          <w:highlight w:val="none"/>
        </w:rPr>
        <w:t>询比采购文件</w:t>
      </w:r>
      <w:r>
        <w:rPr>
          <w:b/>
          <w:color w:val="auto"/>
          <w:sz w:val="32"/>
          <w:szCs w:val="32"/>
          <w:highlight w:val="none"/>
        </w:rPr>
        <w:t>中要求提供的相关资料</w:t>
      </w:r>
      <w:r>
        <w:rPr>
          <w:rFonts w:hint="eastAsia"/>
          <w:b/>
          <w:color w:val="auto"/>
          <w:sz w:val="32"/>
          <w:szCs w:val="32"/>
          <w:highlight w:val="none"/>
        </w:rPr>
        <w:t>及供应商人认为需要提供的其他材料</w:t>
      </w:r>
    </w:p>
    <w:p>
      <w:pPr>
        <w:numPr>
          <w:ilvl w:val="0"/>
          <w:numId w:val="7"/>
        </w:numPr>
        <w:rPr>
          <w:rFonts w:hAnsi="宋体" w:cs="宋体"/>
          <w:color w:val="auto"/>
          <w:highlight w:val="none"/>
        </w:rPr>
      </w:pPr>
      <w:r>
        <w:rPr>
          <w:rFonts w:hint="eastAsia" w:hAnsi="宋体" w:cs="宋体"/>
          <w:color w:val="auto"/>
          <w:highlight w:val="none"/>
        </w:rPr>
        <w:t>营业执照；</w:t>
      </w:r>
    </w:p>
    <w:p>
      <w:pPr>
        <w:rPr>
          <w:color w:val="auto"/>
          <w:highlight w:val="none"/>
        </w:rPr>
      </w:pPr>
      <w:r>
        <w:rPr>
          <w:rFonts w:hint="eastAsia" w:hAnsi="宋体" w:cs="宋体"/>
          <w:color w:val="auto"/>
          <w:highlight w:val="none"/>
        </w:rPr>
        <w:t>2、询比时提供地胶和专业灯具生产厂家针对本项目的质量保证函原件（或售后服务承诺函原件），需备注项目名称。</w:t>
      </w:r>
    </w:p>
    <w:p>
      <w:pPr>
        <w:rPr>
          <w:rFonts w:hAnsi="宋体" w:cs="宋体"/>
          <w:color w:val="auto"/>
          <w:szCs w:val="22"/>
          <w:highlight w:val="none"/>
        </w:rPr>
      </w:pPr>
      <w:r>
        <w:rPr>
          <w:rFonts w:hint="eastAsia" w:hAnsi="宋体" w:cs="宋体"/>
          <w:color w:val="auto"/>
          <w:szCs w:val="22"/>
          <w:highlight w:val="none"/>
        </w:rPr>
        <w:t>3、评分中要求提供的检测报告复印件盖厂家公章；</w:t>
      </w:r>
    </w:p>
    <w:p>
      <w:pPr>
        <w:pStyle w:val="2"/>
        <w:rPr>
          <w:color w:val="auto"/>
          <w:highlight w:val="none"/>
        </w:rPr>
      </w:pPr>
    </w:p>
    <w:sectPr>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_x000B__x000C_">
    <w:altName w:val="Times New Roman"/>
    <w:panose1 w:val="00000000000000000000"/>
    <w:charset w:val="00"/>
    <w:family w:val="roman"/>
    <w:pitch w:val="default"/>
    <w:sig w:usb0="00000000" w:usb1="00000000" w:usb2="00000000" w:usb3="00000000" w:csb0="00000001" w:csb1="00000000"/>
  </w:font>
  <w:font w:name="HTJ-PK74820000034-Identity-H">
    <w:altName w:val="黑体"/>
    <w:panose1 w:val="00000000000000000000"/>
    <w:charset w:val="86"/>
    <w:family w:val="auto"/>
    <w:pitch w:val="default"/>
    <w:sig w:usb0="00000000" w:usb1="00000000" w:usb2="0000001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E-BZ9-PK7483cf-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00685" cy="14795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1.65pt;width:31.55pt;mso-position-horizontal:center;mso-position-horizontal-relative:margin;mso-wrap-style:none;z-index:251658240;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qqETvVAAAAAwEAAA8AAAAAAAAAAQAgAAAAIgAAAGRycy9kb3ducmV2LnhtbFBLAQIUABQAAAAI&#10;AIdO4kDILOZUtwEAAEoDAAAOAAAAAAAAAAEAIAAAACQBAABkcnMvZTJvRG9jLnhtbFBLBQYAAAAA&#10;BgAGAFkBAABNBQAAAAA=&#10;">
              <v:fill on="f" focussize="0,0"/>
              <v:stroke on="f" weight="1.25pt"/>
              <v:imagedata o:title=""/>
              <o:lock v:ext="edit" aspectratio="f"/>
              <v:textbox inset="0mm,0mm,0mm,0mm" style="mso-fit-shape-to-text:t;">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qhE71QAAAAMBAAAPAAAAAAAAAAEAIAAAACIAAABkcnMvZG93bnJldi54bWxQSwECFAAUAAAA&#10;CACHTuJAeR8T77gBAABKAwAADgAAAAAAAAABACAAAAAkAQAAZHJzL2Uyb0RvYy54bWxQSwUGAAAA&#10;AAYABgBZAQAATgUAAAAA&#10;">
              <v:fill on="f" focussize="0,0"/>
              <v:stroke on="f" weight="1.25pt"/>
              <v:imagedata o:title=""/>
              <o:lock v:ext="edit" aspectratio="f"/>
              <v:textbox inset="0mm,0mm,0mm,0mm" style="mso-fit-shape-to-text:t;">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b/>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31"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BnGpDRAAAAAwEA&#10;AA8AAAAAAAAAAQAgAAAAIgAAAGRycy9kb3ducmV2LnhtbFBLAQIUABQAAAAIAIdO4kBz8cOarwEA&#10;AEADAAAOAAAAAAAAAAEAIAAAACABAABkcnMvZTJvRG9jLnhtbFBLBQYAAAAABgAGAFkBAABBBQAA&#10;AAA=&#10;">
              <v:fill on="f" focussize="0,0"/>
              <v:stroke on="f"/>
              <v:imagedata o:title=""/>
              <o:lock v:ext="edit" aspectratio="f"/>
              <v:textbox inset="0mm,0mm,0mm,0mm" style="mso-fit-shape-to-text:t;">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47955"/>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30" o:spid="_x0000_s1026" o:spt="202" type="#_x0000_t202" style="position:absolute;left:0pt;margin-top:0pt;height:11.65pt;width:36.05pt;mso-position-horizontal:center;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GcakNEAAAADAQAA&#10;DwAAAAAAAAABACAAAAAiAAAAZHJzL2Rvd25yZXYueG1sUEsBAhQAFAAAAAgAh07iQEEq2HyuAQAA&#10;QAMAAA4AAAAAAAAAAQAgAAAAIAEAAGRycy9lMm9Eb2MueG1sUEsFBgAAAAAGAAYAWQEAAEAFAAAA&#10;AA==&#10;">
              <v:fill on="f" focussize="0,0"/>
              <v:stroke on="f"/>
              <v:imagedata o:title=""/>
              <o:lock v:ext="edit" aspectratio="f"/>
              <v:textbox inset="0mm,0mm,0mm,0mm" style="mso-fit-shape-to-text:t;">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b/>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7835" cy="147955"/>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32" o:spid="_x0000_s1026" o:spt="202" type="#_x0000_t202" style="position:absolute;left:0pt;margin-top:0pt;height:11.65pt;width:36.05pt;mso-position-horizontal:center;mso-position-horizontal-relative:margin;mso-wrap-style:none;z-index:251662336;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BnGpDRAAAAAwEA&#10;AA8AAAAAAAAAAQAgAAAAIgAAAGRycy9kb3ducmV2LnhtbFBLAQIUABQAAAAIAIdO4kDuHC0srwEA&#10;AEADAAAOAAAAAAAAAAEAIAAAACABAABkcnMvZTJvRG9jLnhtbFBLBQYAAAAABgAGAFkBAABBBQAA&#10;AAA=&#10;">
              <v:fill on="f" focussize="0,0"/>
              <v:stroke on="f"/>
              <v:imagedata o:title=""/>
              <o:lock v:ext="edit" aspectratio="f"/>
              <v:textbox inset="0mm,0mm,0mm,0mm" style="mso-fit-shape-to-text:t;">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Y4&#10;y1a2AQAAVgMAAA4AAAAAAAAAAQAgAAAAHgEAAGRycy9lMm9Eb2MueG1sUEsFBgAAAAAGAAYAWQEA&#10;AEYFAAAAAA==&#10;">
              <v:fill on="f" focussize="0,0"/>
              <v:stroke on="f"/>
              <v:imagedata o:title=""/>
              <o:lock v:ext="edit" aspectratio="f"/>
              <v:textbox inset="0mm,0mm,0mm,0mm" style="mso-fit-shape-to-text:t;">
                <w:txbxContent>
                  <w:p>
                    <w:pPr>
                      <w:pStyle w:val="3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pStyle w:val="8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A"/>
    <w:multiLevelType w:val="multilevel"/>
    <w:tmpl w:val="0000000A"/>
    <w:lvl w:ilvl="0" w:tentative="0">
      <w:start w:val="1"/>
      <w:numFmt w:val="decimal"/>
      <w:pStyle w:val="71"/>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72"/>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27"/>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B"/>
    <w:multiLevelType w:val="multilevel"/>
    <w:tmpl w:val="0000000B"/>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28"/>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3">
    <w:nsid w:val="00000017"/>
    <w:multiLevelType w:val="singleLevel"/>
    <w:tmpl w:val="00000017"/>
    <w:lvl w:ilvl="0" w:tentative="0">
      <w:start w:val="1"/>
      <w:numFmt w:val="decimal"/>
      <w:suff w:val="nothing"/>
      <w:lvlText w:val="（%1）"/>
      <w:lvlJc w:val="left"/>
    </w:lvl>
  </w:abstractNum>
  <w:abstractNum w:abstractNumId="4">
    <w:nsid w:val="134164DD"/>
    <w:multiLevelType w:val="multilevel"/>
    <w:tmpl w:val="134164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6B282C"/>
    <w:multiLevelType w:val="singleLevel"/>
    <w:tmpl w:val="316B282C"/>
    <w:lvl w:ilvl="0" w:tentative="0">
      <w:start w:val="22"/>
      <w:numFmt w:val="decimal"/>
      <w:lvlText w:val="%1."/>
      <w:lvlJc w:val="left"/>
      <w:pPr>
        <w:tabs>
          <w:tab w:val="left" w:pos="312"/>
        </w:tabs>
      </w:pPr>
    </w:lvl>
  </w:abstractNum>
  <w:abstractNum w:abstractNumId="6">
    <w:nsid w:val="46710029"/>
    <w:multiLevelType w:val="singleLevel"/>
    <w:tmpl w:val="46710029"/>
    <w:lvl w:ilvl="0" w:tentative="0">
      <w:start w:val="20"/>
      <w:numFmt w:val="decimal"/>
      <w:lvlText w:val="%1."/>
      <w:lvlJc w:val="left"/>
      <w:pPr>
        <w:tabs>
          <w:tab w:val="left" w:pos="312"/>
        </w:tabs>
      </w:p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30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ED4"/>
    <w:rsid w:val="000072C7"/>
    <w:rsid w:val="00012E95"/>
    <w:rsid w:val="00015BFC"/>
    <w:rsid w:val="00016CD6"/>
    <w:rsid w:val="00016FD1"/>
    <w:rsid w:val="00016FF2"/>
    <w:rsid w:val="00032699"/>
    <w:rsid w:val="00034132"/>
    <w:rsid w:val="00036981"/>
    <w:rsid w:val="0003711C"/>
    <w:rsid w:val="00045FED"/>
    <w:rsid w:val="00046159"/>
    <w:rsid w:val="00047453"/>
    <w:rsid w:val="00054464"/>
    <w:rsid w:val="00061A2C"/>
    <w:rsid w:val="00071AC2"/>
    <w:rsid w:val="00075D07"/>
    <w:rsid w:val="000804CD"/>
    <w:rsid w:val="00083CAC"/>
    <w:rsid w:val="0009299F"/>
    <w:rsid w:val="00096FD4"/>
    <w:rsid w:val="000973C2"/>
    <w:rsid w:val="000A3C11"/>
    <w:rsid w:val="000A4921"/>
    <w:rsid w:val="000A49C7"/>
    <w:rsid w:val="000A7F25"/>
    <w:rsid w:val="000B3101"/>
    <w:rsid w:val="000B3BB5"/>
    <w:rsid w:val="000B41DE"/>
    <w:rsid w:val="000C4B8E"/>
    <w:rsid w:val="000C5797"/>
    <w:rsid w:val="000D0886"/>
    <w:rsid w:val="000D1C9B"/>
    <w:rsid w:val="000E1E58"/>
    <w:rsid w:val="000E3C83"/>
    <w:rsid w:val="000F4E9E"/>
    <w:rsid w:val="000F5605"/>
    <w:rsid w:val="001025FC"/>
    <w:rsid w:val="00103E49"/>
    <w:rsid w:val="001053A7"/>
    <w:rsid w:val="0011284B"/>
    <w:rsid w:val="001150B1"/>
    <w:rsid w:val="001272CA"/>
    <w:rsid w:val="00130579"/>
    <w:rsid w:val="00140FC4"/>
    <w:rsid w:val="00141AF5"/>
    <w:rsid w:val="00151F78"/>
    <w:rsid w:val="00154AAE"/>
    <w:rsid w:val="00155036"/>
    <w:rsid w:val="00161786"/>
    <w:rsid w:val="00161DC9"/>
    <w:rsid w:val="00163F5E"/>
    <w:rsid w:val="0017147C"/>
    <w:rsid w:val="00172A27"/>
    <w:rsid w:val="00174451"/>
    <w:rsid w:val="001763F4"/>
    <w:rsid w:val="00176BCF"/>
    <w:rsid w:val="001774C3"/>
    <w:rsid w:val="001800F3"/>
    <w:rsid w:val="00181E04"/>
    <w:rsid w:val="001826A9"/>
    <w:rsid w:val="00183B16"/>
    <w:rsid w:val="00191805"/>
    <w:rsid w:val="00194D51"/>
    <w:rsid w:val="001952B5"/>
    <w:rsid w:val="00195399"/>
    <w:rsid w:val="00196D1B"/>
    <w:rsid w:val="001A2301"/>
    <w:rsid w:val="001A28E9"/>
    <w:rsid w:val="001A4B44"/>
    <w:rsid w:val="001B4416"/>
    <w:rsid w:val="001C0269"/>
    <w:rsid w:val="001D1D0A"/>
    <w:rsid w:val="001E713A"/>
    <w:rsid w:val="001F3587"/>
    <w:rsid w:val="001F7669"/>
    <w:rsid w:val="00200336"/>
    <w:rsid w:val="0020247B"/>
    <w:rsid w:val="00207BEA"/>
    <w:rsid w:val="00207ED5"/>
    <w:rsid w:val="0021183A"/>
    <w:rsid w:val="00213271"/>
    <w:rsid w:val="00215FB2"/>
    <w:rsid w:val="0021788E"/>
    <w:rsid w:val="00221EC3"/>
    <w:rsid w:val="00231921"/>
    <w:rsid w:val="00231F95"/>
    <w:rsid w:val="00232BE9"/>
    <w:rsid w:val="00241FB9"/>
    <w:rsid w:val="00244EF5"/>
    <w:rsid w:val="002464CC"/>
    <w:rsid w:val="0024752D"/>
    <w:rsid w:val="00262270"/>
    <w:rsid w:val="00263510"/>
    <w:rsid w:val="00264DB5"/>
    <w:rsid w:val="00271BD7"/>
    <w:rsid w:val="00286787"/>
    <w:rsid w:val="002869DC"/>
    <w:rsid w:val="00297FB5"/>
    <w:rsid w:val="002A0C42"/>
    <w:rsid w:val="002A2375"/>
    <w:rsid w:val="002A4848"/>
    <w:rsid w:val="002A75D4"/>
    <w:rsid w:val="002A769E"/>
    <w:rsid w:val="002B4464"/>
    <w:rsid w:val="002B5210"/>
    <w:rsid w:val="002C2593"/>
    <w:rsid w:val="002C30E8"/>
    <w:rsid w:val="002C331E"/>
    <w:rsid w:val="002D1F90"/>
    <w:rsid w:val="002D40F0"/>
    <w:rsid w:val="002D4680"/>
    <w:rsid w:val="003026FA"/>
    <w:rsid w:val="003104C2"/>
    <w:rsid w:val="003159EF"/>
    <w:rsid w:val="00316CD2"/>
    <w:rsid w:val="00320A2E"/>
    <w:rsid w:val="00322C30"/>
    <w:rsid w:val="00326F95"/>
    <w:rsid w:val="0033329A"/>
    <w:rsid w:val="003334AF"/>
    <w:rsid w:val="003352AE"/>
    <w:rsid w:val="00337AF7"/>
    <w:rsid w:val="00343222"/>
    <w:rsid w:val="00344EB5"/>
    <w:rsid w:val="00346CD5"/>
    <w:rsid w:val="003523F3"/>
    <w:rsid w:val="0035330F"/>
    <w:rsid w:val="00356ECE"/>
    <w:rsid w:val="00357401"/>
    <w:rsid w:val="003645E7"/>
    <w:rsid w:val="003656A2"/>
    <w:rsid w:val="00375D9F"/>
    <w:rsid w:val="00375F14"/>
    <w:rsid w:val="00382BC7"/>
    <w:rsid w:val="003873D5"/>
    <w:rsid w:val="003A71C1"/>
    <w:rsid w:val="003B1406"/>
    <w:rsid w:val="003B37C8"/>
    <w:rsid w:val="003B397F"/>
    <w:rsid w:val="003B4F88"/>
    <w:rsid w:val="003B5DB2"/>
    <w:rsid w:val="003C0F97"/>
    <w:rsid w:val="003C4764"/>
    <w:rsid w:val="003C5017"/>
    <w:rsid w:val="003C586B"/>
    <w:rsid w:val="003C64B0"/>
    <w:rsid w:val="003D2952"/>
    <w:rsid w:val="003D3783"/>
    <w:rsid w:val="003D5FF5"/>
    <w:rsid w:val="003E3121"/>
    <w:rsid w:val="003F0B31"/>
    <w:rsid w:val="003F44A6"/>
    <w:rsid w:val="003F45C6"/>
    <w:rsid w:val="00406884"/>
    <w:rsid w:val="00414392"/>
    <w:rsid w:val="0041443D"/>
    <w:rsid w:val="00414BF3"/>
    <w:rsid w:val="00416077"/>
    <w:rsid w:val="00422C7A"/>
    <w:rsid w:val="00423163"/>
    <w:rsid w:val="004257EA"/>
    <w:rsid w:val="00431C1F"/>
    <w:rsid w:val="00431DAE"/>
    <w:rsid w:val="00440CF6"/>
    <w:rsid w:val="00444E37"/>
    <w:rsid w:val="004457D6"/>
    <w:rsid w:val="00446758"/>
    <w:rsid w:val="00446873"/>
    <w:rsid w:val="00451B3D"/>
    <w:rsid w:val="004579B7"/>
    <w:rsid w:val="004611AE"/>
    <w:rsid w:val="00462741"/>
    <w:rsid w:val="00464BA6"/>
    <w:rsid w:val="00465527"/>
    <w:rsid w:val="004713C2"/>
    <w:rsid w:val="004733F6"/>
    <w:rsid w:val="0047396E"/>
    <w:rsid w:val="00480342"/>
    <w:rsid w:val="00480971"/>
    <w:rsid w:val="004875E9"/>
    <w:rsid w:val="00494C7B"/>
    <w:rsid w:val="00497923"/>
    <w:rsid w:val="004A3DB2"/>
    <w:rsid w:val="004A6F2F"/>
    <w:rsid w:val="004B568C"/>
    <w:rsid w:val="004C2E50"/>
    <w:rsid w:val="004C5351"/>
    <w:rsid w:val="004D3F91"/>
    <w:rsid w:val="004D7456"/>
    <w:rsid w:val="004E0AB2"/>
    <w:rsid w:val="004F030D"/>
    <w:rsid w:val="004F0A23"/>
    <w:rsid w:val="004F1AC9"/>
    <w:rsid w:val="004F3859"/>
    <w:rsid w:val="004F5360"/>
    <w:rsid w:val="004F6118"/>
    <w:rsid w:val="00501B2A"/>
    <w:rsid w:val="00506A1B"/>
    <w:rsid w:val="0051115D"/>
    <w:rsid w:val="00522E39"/>
    <w:rsid w:val="00524CDE"/>
    <w:rsid w:val="005262EC"/>
    <w:rsid w:val="00526C1A"/>
    <w:rsid w:val="005360D0"/>
    <w:rsid w:val="00542F03"/>
    <w:rsid w:val="005456B0"/>
    <w:rsid w:val="005512C5"/>
    <w:rsid w:val="00553665"/>
    <w:rsid w:val="00555C36"/>
    <w:rsid w:val="00556DBD"/>
    <w:rsid w:val="005629EC"/>
    <w:rsid w:val="005712EE"/>
    <w:rsid w:val="00572D3F"/>
    <w:rsid w:val="00575D8B"/>
    <w:rsid w:val="00575DBC"/>
    <w:rsid w:val="00576CEB"/>
    <w:rsid w:val="00580FE0"/>
    <w:rsid w:val="00585131"/>
    <w:rsid w:val="00593A21"/>
    <w:rsid w:val="00593EC9"/>
    <w:rsid w:val="005A2EF9"/>
    <w:rsid w:val="005A4896"/>
    <w:rsid w:val="005A7992"/>
    <w:rsid w:val="005B4384"/>
    <w:rsid w:val="005C1A24"/>
    <w:rsid w:val="005C36AB"/>
    <w:rsid w:val="005C5B53"/>
    <w:rsid w:val="005C5E16"/>
    <w:rsid w:val="005C7762"/>
    <w:rsid w:val="005E14CA"/>
    <w:rsid w:val="005E195F"/>
    <w:rsid w:val="005E2AB2"/>
    <w:rsid w:val="005F0FA7"/>
    <w:rsid w:val="005F304A"/>
    <w:rsid w:val="005F403A"/>
    <w:rsid w:val="005F535D"/>
    <w:rsid w:val="005F54F9"/>
    <w:rsid w:val="00601D77"/>
    <w:rsid w:val="00602523"/>
    <w:rsid w:val="006051C1"/>
    <w:rsid w:val="0060560C"/>
    <w:rsid w:val="00605C47"/>
    <w:rsid w:val="00606A49"/>
    <w:rsid w:val="00607533"/>
    <w:rsid w:val="00607DA2"/>
    <w:rsid w:val="006100BC"/>
    <w:rsid w:val="00613A7F"/>
    <w:rsid w:val="00621590"/>
    <w:rsid w:val="006244CC"/>
    <w:rsid w:val="00631568"/>
    <w:rsid w:val="00632FCB"/>
    <w:rsid w:val="00642D3A"/>
    <w:rsid w:val="00643FF2"/>
    <w:rsid w:val="006440DB"/>
    <w:rsid w:val="00650804"/>
    <w:rsid w:val="006528BB"/>
    <w:rsid w:val="0066576A"/>
    <w:rsid w:val="00674699"/>
    <w:rsid w:val="006778E5"/>
    <w:rsid w:val="00684C67"/>
    <w:rsid w:val="00684D37"/>
    <w:rsid w:val="00685F23"/>
    <w:rsid w:val="00686429"/>
    <w:rsid w:val="00687308"/>
    <w:rsid w:val="0069127D"/>
    <w:rsid w:val="00693DC7"/>
    <w:rsid w:val="0069723F"/>
    <w:rsid w:val="006A0C04"/>
    <w:rsid w:val="006A1176"/>
    <w:rsid w:val="006A435C"/>
    <w:rsid w:val="006A7B5A"/>
    <w:rsid w:val="006B1395"/>
    <w:rsid w:val="006C3846"/>
    <w:rsid w:val="006C6FD0"/>
    <w:rsid w:val="006D5116"/>
    <w:rsid w:val="006D527B"/>
    <w:rsid w:val="006D620F"/>
    <w:rsid w:val="006E0A52"/>
    <w:rsid w:val="006E5E70"/>
    <w:rsid w:val="006E7210"/>
    <w:rsid w:val="006F01BB"/>
    <w:rsid w:val="006F0715"/>
    <w:rsid w:val="006F2B6D"/>
    <w:rsid w:val="006F3C99"/>
    <w:rsid w:val="007004B5"/>
    <w:rsid w:val="00700F8C"/>
    <w:rsid w:val="0070126D"/>
    <w:rsid w:val="00705094"/>
    <w:rsid w:val="007062C3"/>
    <w:rsid w:val="0071239B"/>
    <w:rsid w:val="0071465A"/>
    <w:rsid w:val="00720C51"/>
    <w:rsid w:val="007226F5"/>
    <w:rsid w:val="007233BB"/>
    <w:rsid w:val="00730C84"/>
    <w:rsid w:val="00730CCF"/>
    <w:rsid w:val="00731A5E"/>
    <w:rsid w:val="00731E54"/>
    <w:rsid w:val="0073332C"/>
    <w:rsid w:val="00735FF2"/>
    <w:rsid w:val="00744A2C"/>
    <w:rsid w:val="0075195D"/>
    <w:rsid w:val="00753DF1"/>
    <w:rsid w:val="007552D5"/>
    <w:rsid w:val="007570BF"/>
    <w:rsid w:val="0076093B"/>
    <w:rsid w:val="00760EAD"/>
    <w:rsid w:val="0077362C"/>
    <w:rsid w:val="00781957"/>
    <w:rsid w:val="00782525"/>
    <w:rsid w:val="0079748D"/>
    <w:rsid w:val="007A0447"/>
    <w:rsid w:val="007A2762"/>
    <w:rsid w:val="007B27F4"/>
    <w:rsid w:val="007B298E"/>
    <w:rsid w:val="007B433D"/>
    <w:rsid w:val="007B472D"/>
    <w:rsid w:val="007B595A"/>
    <w:rsid w:val="007B6287"/>
    <w:rsid w:val="007C774D"/>
    <w:rsid w:val="007C7AFB"/>
    <w:rsid w:val="007C7DB1"/>
    <w:rsid w:val="007D0140"/>
    <w:rsid w:val="007D08A1"/>
    <w:rsid w:val="007D3738"/>
    <w:rsid w:val="007D4049"/>
    <w:rsid w:val="007D4269"/>
    <w:rsid w:val="007E0C96"/>
    <w:rsid w:val="007E1CA5"/>
    <w:rsid w:val="007E3EED"/>
    <w:rsid w:val="007E4DFF"/>
    <w:rsid w:val="007E63CD"/>
    <w:rsid w:val="007F08BD"/>
    <w:rsid w:val="007F1211"/>
    <w:rsid w:val="007F15DF"/>
    <w:rsid w:val="00800758"/>
    <w:rsid w:val="00801D24"/>
    <w:rsid w:val="00802002"/>
    <w:rsid w:val="00802F58"/>
    <w:rsid w:val="0081061E"/>
    <w:rsid w:val="008113B1"/>
    <w:rsid w:val="0081173A"/>
    <w:rsid w:val="0081312F"/>
    <w:rsid w:val="008172A7"/>
    <w:rsid w:val="008316A0"/>
    <w:rsid w:val="00834F33"/>
    <w:rsid w:val="0083599E"/>
    <w:rsid w:val="00843C22"/>
    <w:rsid w:val="00845910"/>
    <w:rsid w:val="0085002A"/>
    <w:rsid w:val="008520E2"/>
    <w:rsid w:val="00861DE2"/>
    <w:rsid w:val="008629D2"/>
    <w:rsid w:val="008768B2"/>
    <w:rsid w:val="00876994"/>
    <w:rsid w:val="0087769B"/>
    <w:rsid w:val="00880BB5"/>
    <w:rsid w:val="008919C0"/>
    <w:rsid w:val="008943D2"/>
    <w:rsid w:val="00896E10"/>
    <w:rsid w:val="008A1564"/>
    <w:rsid w:val="008A436D"/>
    <w:rsid w:val="008A7268"/>
    <w:rsid w:val="008B03FD"/>
    <w:rsid w:val="008B1710"/>
    <w:rsid w:val="008B284D"/>
    <w:rsid w:val="008B6A7D"/>
    <w:rsid w:val="008C1ADD"/>
    <w:rsid w:val="008C5A65"/>
    <w:rsid w:val="008C7561"/>
    <w:rsid w:val="008D60A3"/>
    <w:rsid w:val="008D6490"/>
    <w:rsid w:val="008D7234"/>
    <w:rsid w:val="008D7B13"/>
    <w:rsid w:val="008E17F0"/>
    <w:rsid w:val="008E3801"/>
    <w:rsid w:val="008E66FA"/>
    <w:rsid w:val="008F1DC2"/>
    <w:rsid w:val="008F3233"/>
    <w:rsid w:val="008F6E5F"/>
    <w:rsid w:val="00901EC8"/>
    <w:rsid w:val="00902E6D"/>
    <w:rsid w:val="00902F67"/>
    <w:rsid w:val="00906E87"/>
    <w:rsid w:val="00914D2C"/>
    <w:rsid w:val="00920BA7"/>
    <w:rsid w:val="0092456F"/>
    <w:rsid w:val="00924E55"/>
    <w:rsid w:val="00934CBC"/>
    <w:rsid w:val="009410E0"/>
    <w:rsid w:val="0094501B"/>
    <w:rsid w:val="009507BF"/>
    <w:rsid w:val="00950E56"/>
    <w:rsid w:val="00951174"/>
    <w:rsid w:val="00951CF0"/>
    <w:rsid w:val="0095367F"/>
    <w:rsid w:val="00953F1C"/>
    <w:rsid w:val="00960244"/>
    <w:rsid w:val="00980D47"/>
    <w:rsid w:val="00981F29"/>
    <w:rsid w:val="009837F0"/>
    <w:rsid w:val="00983818"/>
    <w:rsid w:val="00984E4B"/>
    <w:rsid w:val="00987AC6"/>
    <w:rsid w:val="00991592"/>
    <w:rsid w:val="00995A6B"/>
    <w:rsid w:val="009A6CD4"/>
    <w:rsid w:val="009B0CFC"/>
    <w:rsid w:val="009B3B84"/>
    <w:rsid w:val="009B7D59"/>
    <w:rsid w:val="009C2799"/>
    <w:rsid w:val="009C37B7"/>
    <w:rsid w:val="009C6619"/>
    <w:rsid w:val="009D11B4"/>
    <w:rsid w:val="009D5F3F"/>
    <w:rsid w:val="009E0D6E"/>
    <w:rsid w:val="009E1674"/>
    <w:rsid w:val="009E50DA"/>
    <w:rsid w:val="009E7292"/>
    <w:rsid w:val="00A07424"/>
    <w:rsid w:val="00A07B6F"/>
    <w:rsid w:val="00A176DD"/>
    <w:rsid w:val="00A3694B"/>
    <w:rsid w:val="00A405D8"/>
    <w:rsid w:val="00A4166D"/>
    <w:rsid w:val="00A515D6"/>
    <w:rsid w:val="00A5233E"/>
    <w:rsid w:val="00A537B7"/>
    <w:rsid w:val="00A54C3D"/>
    <w:rsid w:val="00A56828"/>
    <w:rsid w:val="00A56F54"/>
    <w:rsid w:val="00A5760F"/>
    <w:rsid w:val="00A61632"/>
    <w:rsid w:val="00A64B4C"/>
    <w:rsid w:val="00A72472"/>
    <w:rsid w:val="00A7515D"/>
    <w:rsid w:val="00A84286"/>
    <w:rsid w:val="00A949BF"/>
    <w:rsid w:val="00A955DC"/>
    <w:rsid w:val="00A95BD8"/>
    <w:rsid w:val="00AA186C"/>
    <w:rsid w:val="00AA70C2"/>
    <w:rsid w:val="00AC2768"/>
    <w:rsid w:val="00AC2D00"/>
    <w:rsid w:val="00AC4C84"/>
    <w:rsid w:val="00AE2A89"/>
    <w:rsid w:val="00AE56F3"/>
    <w:rsid w:val="00AF1905"/>
    <w:rsid w:val="00AF1F43"/>
    <w:rsid w:val="00B05FCB"/>
    <w:rsid w:val="00B0629E"/>
    <w:rsid w:val="00B168B2"/>
    <w:rsid w:val="00B20F18"/>
    <w:rsid w:val="00B23B7D"/>
    <w:rsid w:val="00B2529D"/>
    <w:rsid w:val="00B26530"/>
    <w:rsid w:val="00B26E2A"/>
    <w:rsid w:val="00B27D0A"/>
    <w:rsid w:val="00B4608C"/>
    <w:rsid w:val="00B51946"/>
    <w:rsid w:val="00B5243D"/>
    <w:rsid w:val="00B52990"/>
    <w:rsid w:val="00B5358F"/>
    <w:rsid w:val="00B539F8"/>
    <w:rsid w:val="00B5613E"/>
    <w:rsid w:val="00B61267"/>
    <w:rsid w:val="00B61FE9"/>
    <w:rsid w:val="00B67AA0"/>
    <w:rsid w:val="00B70904"/>
    <w:rsid w:val="00B70CF3"/>
    <w:rsid w:val="00B727D0"/>
    <w:rsid w:val="00B737B8"/>
    <w:rsid w:val="00B75348"/>
    <w:rsid w:val="00B759A1"/>
    <w:rsid w:val="00B77EFC"/>
    <w:rsid w:val="00B824D9"/>
    <w:rsid w:val="00B82B4F"/>
    <w:rsid w:val="00B82EAD"/>
    <w:rsid w:val="00B8574C"/>
    <w:rsid w:val="00B91719"/>
    <w:rsid w:val="00B94670"/>
    <w:rsid w:val="00B96660"/>
    <w:rsid w:val="00B97F55"/>
    <w:rsid w:val="00BA3791"/>
    <w:rsid w:val="00BB30B6"/>
    <w:rsid w:val="00BB3981"/>
    <w:rsid w:val="00BB3EB9"/>
    <w:rsid w:val="00BB6DD0"/>
    <w:rsid w:val="00BD4369"/>
    <w:rsid w:val="00BD7885"/>
    <w:rsid w:val="00BE0C28"/>
    <w:rsid w:val="00BE0DC1"/>
    <w:rsid w:val="00BE1875"/>
    <w:rsid w:val="00BE34A0"/>
    <w:rsid w:val="00BE36E9"/>
    <w:rsid w:val="00BE370C"/>
    <w:rsid w:val="00BE7255"/>
    <w:rsid w:val="00BF1A35"/>
    <w:rsid w:val="00BF5806"/>
    <w:rsid w:val="00C0015A"/>
    <w:rsid w:val="00C01B8E"/>
    <w:rsid w:val="00C11F5E"/>
    <w:rsid w:val="00C136B0"/>
    <w:rsid w:val="00C16F3C"/>
    <w:rsid w:val="00C17E2B"/>
    <w:rsid w:val="00C2234B"/>
    <w:rsid w:val="00C277FE"/>
    <w:rsid w:val="00C32F41"/>
    <w:rsid w:val="00C33FE1"/>
    <w:rsid w:val="00C41684"/>
    <w:rsid w:val="00C500D0"/>
    <w:rsid w:val="00C54533"/>
    <w:rsid w:val="00C64575"/>
    <w:rsid w:val="00C66F8C"/>
    <w:rsid w:val="00C72C14"/>
    <w:rsid w:val="00C73251"/>
    <w:rsid w:val="00C76A79"/>
    <w:rsid w:val="00C81C36"/>
    <w:rsid w:val="00C9664A"/>
    <w:rsid w:val="00CA6E2A"/>
    <w:rsid w:val="00CA7AC7"/>
    <w:rsid w:val="00CA7C97"/>
    <w:rsid w:val="00CB08EF"/>
    <w:rsid w:val="00CB6532"/>
    <w:rsid w:val="00CC06AE"/>
    <w:rsid w:val="00CC587B"/>
    <w:rsid w:val="00CC6E40"/>
    <w:rsid w:val="00CD1634"/>
    <w:rsid w:val="00CD2913"/>
    <w:rsid w:val="00CD7982"/>
    <w:rsid w:val="00CF3E8D"/>
    <w:rsid w:val="00CF457C"/>
    <w:rsid w:val="00D12D9B"/>
    <w:rsid w:val="00D1325B"/>
    <w:rsid w:val="00D1634D"/>
    <w:rsid w:val="00D16ECB"/>
    <w:rsid w:val="00D20B59"/>
    <w:rsid w:val="00D22359"/>
    <w:rsid w:val="00D22E2A"/>
    <w:rsid w:val="00D252E3"/>
    <w:rsid w:val="00D30CBF"/>
    <w:rsid w:val="00D35746"/>
    <w:rsid w:val="00D36B39"/>
    <w:rsid w:val="00D46BB6"/>
    <w:rsid w:val="00D5148A"/>
    <w:rsid w:val="00D5408C"/>
    <w:rsid w:val="00D54495"/>
    <w:rsid w:val="00D61CED"/>
    <w:rsid w:val="00D6364E"/>
    <w:rsid w:val="00D66A1B"/>
    <w:rsid w:val="00D677B3"/>
    <w:rsid w:val="00D8098B"/>
    <w:rsid w:val="00D80D58"/>
    <w:rsid w:val="00D87CB4"/>
    <w:rsid w:val="00D9211F"/>
    <w:rsid w:val="00D92632"/>
    <w:rsid w:val="00D96D99"/>
    <w:rsid w:val="00DB44BE"/>
    <w:rsid w:val="00DB4947"/>
    <w:rsid w:val="00DC1C51"/>
    <w:rsid w:val="00DC6B6C"/>
    <w:rsid w:val="00DD126C"/>
    <w:rsid w:val="00DE3851"/>
    <w:rsid w:val="00DE582A"/>
    <w:rsid w:val="00DF7C0F"/>
    <w:rsid w:val="00E005C8"/>
    <w:rsid w:val="00E00928"/>
    <w:rsid w:val="00E04FE2"/>
    <w:rsid w:val="00E07EA5"/>
    <w:rsid w:val="00E10B66"/>
    <w:rsid w:val="00E11FB3"/>
    <w:rsid w:val="00E127C8"/>
    <w:rsid w:val="00E1488C"/>
    <w:rsid w:val="00E15994"/>
    <w:rsid w:val="00E15BB6"/>
    <w:rsid w:val="00E231D6"/>
    <w:rsid w:val="00E234E3"/>
    <w:rsid w:val="00E263F2"/>
    <w:rsid w:val="00E273BB"/>
    <w:rsid w:val="00E30055"/>
    <w:rsid w:val="00E35FD1"/>
    <w:rsid w:val="00E43FCA"/>
    <w:rsid w:val="00E45A86"/>
    <w:rsid w:val="00E5553C"/>
    <w:rsid w:val="00E57BB4"/>
    <w:rsid w:val="00E63DCD"/>
    <w:rsid w:val="00E63F38"/>
    <w:rsid w:val="00E64DF0"/>
    <w:rsid w:val="00E67D29"/>
    <w:rsid w:val="00E7281C"/>
    <w:rsid w:val="00E72BCA"/>
    <w:rsid w:val="00E72EE1"/>
    <w:rsid w:val="00E74DB4"/>
    <w:rsid w:val="00E800E1"/>
    <w:rsid w:val="00E81F8D"/>
    <w:rsid w:val="00E82425"/>
    <w:rsid w:val="00E90E19"/>
    <w:rsid w:val="00E91283"/>
    <w:rsid w:val="00E95C51"/>
    <w:rsid w:val="00E963BA"/>
    <w:rsid w:val="00EA1737"/>
    <w:rsid w:val="00EB45A6"/>
    <w:rsid w:val="00EB4B86"/>
    <w:rsid w:val="00EB5167"/>
    <w:rsid w:val="00EB53B9"/>
    <w:rsid w:val="00EC095A"/>
    <w:rsid w:val="00EC6917"/>
    <w:rsid w:val="00EC6C07"/>
    <w:rsid w:val="00ED0B8E"/>
    <w:rsid w:val="00ED2A67"/>
    <w:rsid w:val="00ED3517"/>
    <w:rsid w:val="00ED3A5F"/>
    <w:rsid w:val="00ED3A9E"/>
    <w:rsid w:val="00EE251B"/>
    <w:rsid w:val="00EF590A"/>
    <w:rsid w:val="00EF66F9"/>
    <w:rsid w:val="00F01B4B"/>
    <w:rsid w:val="00F0667A"/>
    <w:rsid w:val="00F10019"/>
    <w:rsid w:val="00F14757"/>
    <w:rsid w:val="00F153B8"/>
    <w:rsid w:val="00F1758B"/>
    <w:rsid w:val="00F238B5"/>
    <w:rsid w:val="00F24E8F"/>
    <w:rsid w:val="00F30DA5"/>
    <w:rsid w:val="00F321AE"/>
    <w:rsid w:val="00F40ACA"/>
    <w:rsid w:val="00F422D9"/>
    <w:rsid w:val="00F4467B"/>
    <w:rsid w:val="00F539EF"/>
    <w:rsid w:val="00F53E71"/>
    <w:rsid w:val="00F55BC3"/>
    <w:rsid w:val="00F7020B"/>
    <w:rsid w:val="00F82676"/>
    <w:rsid w:val="00F83EE0"/>
    <w:rsid w:val="00F93F69"/>
    <w:rsid w:val="00F93FB4"/>
    <w:rsid w:val="00F966A2"/>
    <w:rsid w:val="00F9672F"/>
    <w:rsid w:val="00FA19E1"/>
    <w:rsid w:val="00FA3E63"/>
    <w:rsid w:val="00FA635A"/>
    <w:rsid w:val="00FA7E26"/>
    <w:rsid w:val="00FB1F84"/>
    <w:rsid w:val="00FB607D"/>
    <w:rsid w:val="00FB7A5F"/>
    <w:rsid w:val="00FC1279"/>
    <w:rsid w:val="00FC1701"/>
    <w:rsid w:val="00FC28E3"/>
    <w:rsid w:val="00FC7F5E"/>
    <w:rsid w:val="00FD438F"/>
    <w:rsid w:val="00FD7355"/>
    <w:rsid w:val="00FE0AC1"/>
    <w:rsid w:val="00FE104E"/>
    <w:rsid w:val="00FE1EFA"/>
    <w:rsid w:val="00FE76F2"/>
    <w:rsid w:val="00FE7E5D"/>
    <w:rsid w:val="01064728"/>
    <w:rsid w:val="011D0738"/>
    <w:rsid w:val="01335742"/>
    <w:rsid w:val="01AA37AD"/>
    <w:rsid w:val="01C521EE"/>
    <w:rsid w:val="01F65373"/>
    <w:rsid w:val="020769F2"/>
    <w:rsid w:val="02486FA3"/>
    <w:rsid w:val="025071E4"/>
    <w:rsid w:val="0257682F"/>
    <w:rsid w:val="02657026"/>
    <w:rsid w:val="02A74956"/>
    <w:rsid w:val="02C26D18"/>
    <w:rsid w:val="02E5563B"/>
    <w:rsid w:val="031E276D"/>
    <w:rsid w:val="03AE716A"/>
    <w:rsid w:val="03BF5149"/>
    <w:rsid w:val="03D474A0"/>
    <w:rsid w:val="040C756A"/>
    <w:rsid w:val="040F54C3"/>
    <w:rsid w:val="041E18D4"/>
    <w:rsid w:val="04481F3B"/>
    <w:rsid w:val="04523906"/>
    <w:rsid w:val="048F1A83"/>
    <w:rsid w:val="04A0366F"/>
    <w:rsid w:val="04AE0D9F"/>
    <w:rsid w:val="04AF18B3"/>
    <w:rsid w:val="04EB468A"/>
    <w:rsid w:val="04EC35BB"/>
    <w:rsid w:val="04F23468"/>
    <w:rsid w:val="055167AC"/>
    <w:rsid w:val="056F005C"/>
    <w:rsid w:val="05905DF7"/>
    <w:rsid w:val="0595758D"/>
    <w:rsid w:val="05A63A8C"/>
    <w:rsid w:val="06F770DC"/>
    <w:rsid w:val="073308E6"/>
    <w:rsid w:val="073C4370"/>
    <w:rsid w:val="076C2594"/>
    <w:rsid w:val="07AC00A8"/>
    <w:rsid w:val="08361B15"/>
    <w:rsid w:val="088C4F0A"/>
    <w:rsid w:val="08BF3E8B"/>
    <w:rsid w:val="08C80B30"/>
    <w:rsid w:val="092034C7"/>
    <w:rsid w:val="092C5938"/>
    <w:rsid w:val="09401BF5"/>
    <w:rsid w:val="096F7EBA"/>
    <w:rsid w:val="09767F5F"/>
    <w:rsid w:val="099C68A2"/>
    <w:rsid w:val="09CD607B"/>
    <w:rsid w:val="09E04844"/>
    <w:rsid w:val="0A196B4D"/>
    <w:rsid w:val="0A2D197E"/>
    <w:rsid w:val="0A387A4E"/>
    <w:rsid w:val="0A8E4B44"/>
    <w:rsid w:val="0AF316BB"/>
    <w:rsid w:val="0B147893"/>
    <w:rsid w:val="0B91068C"/>
    <w:rsid w:val="0BC5351F"/>
    <w:rsid w:val="0C1C6EBD"/>
    <w:rsid w:val="0C466F00"/>
    <w:rsid w:val="0C6042CC"/>
    <w:rsid w:val="0C9F1870"/>
    <w:rsid w:val="0CC754FB"/>
    <w:rsid w:val="0CFE31A8"/>
    <w:rsid w:val="0D0906C9"/>
    <w:rsid w:val="0D126C7E"/>
    <w:rsid w:val="0D5505DC"/>
    <w:rsid w:val="0D581FD9"/>
    <w:rsid w:val="0D6B4411"/>
    <w:rsid w:val="0D9240F5"/>
    <w:rsid w:val="0DE07BAB"/>
    <w:rsid w:val="0DF951F5"/>
    <w:rsid w:val="0E1C20A0"/>
    <w:rsid w:val="0E4162B2"/>
    <w:rsid w:val="0E792B20"/>
    <w:rsid w:val="0EBD30CF"/>
    <w:rsid w:val="0EF214AF"/>
    <w:rsid w:val="0F34636A"/>
    <w:rsid w:val="0F5010F5"/>
    <w:rsid w:val="10436B99"/>
    <w:rsid w:val="10644ACB"/>
    <w:rsid w:val="10850DB6"/>
    <w:rsid w:val="108D12D2"/>
    <w:rsid w:val="10912EC3"/>
    <w:rsid w:val="10A21FC4"/>
    <w:rsid w:val="10BB7923"/>
    <w:rsid w:val="110436DC"/>
    <w:rsid w:val="11431657"/>
    <w:rsid w:val="116233D3"/>
    <w:rsid w:val="11713737"/>
    <w:rsid w:val="117C4B19"/>
    <w:rsid w:val="11E85BC4"/>
    <w:rsid w:val="127E6282"/>
    <w:rsid w:val="127F5E0D"/>
    <w:rsid w:val="128727B8"/>
    <w:rsid w:val="12A97829"/>
    <w:rsid w:val="12C02B14"/>
    <w:rsid w:val="12E91807"/>
    <w:rsid w:val="12F446DD"/>
    <w:rsid w:val="12F465D7"/>
    <w:rsid w:val="135779C7"/>
    <w:rsid w:val="13666ED0"/>
    <w:rsid w:val="13857DA9"/>
    <w:rsid w:val="13B0220C"/>
    <w:rsid w:val="13D71B08"/>
    <w:rsid w:val="14420D88"/>
    <w:rsid w:val="144741A9"/>
    <w:rsid w:val="14C601E7"/>
    <w:rsid w:val="15732C72"/>
    <w:rsid w:val="15897BFE"/>
    <w:rsid w:val="15B57A30"/>
    <w:rsid w:val="15C15B5C"/>
    <w:rsid w:val="15CC6AEE"/>
    <w:rsid w:val="15EA171E"/>
    <w:rsid w:val="160762F1"/>
    <w:rsid w:val="167A7DAC"/>
    <w:rsid w:val="16B23825"/>
    <w:rsid w:val="16D17CC7"/>
    <w:rsid w:val="16DD2C84"/>
    <w:rsid w:val="176509D8"/>
    <w:rsid w:val="17BC4E18"/>
    <w:rsid w:val="18051DFF"/>
    <w:rsid w:val="18274D61"/>
    <w:rsid w:val="184247A3"/>
    <w:rsid w:val="18465535"/>
    <w:rsid w:val="19494A36"/>
    <w:rsid w:val="198B5630"/>
    <w:rsid w:val="19D52EA8"/>
    <w:rsid w:val="19F50C55"/>
    <w:rsid w:val="1A066B65"/>
    <w:rsid w:val="1A101AAA"/>
    <w:rsid w:val="1A2800B9"/>
    <w:rsid w:val="1A3A6D5C"/>
    <w:rsid w:val="1ABA7837"/>
    <w:rsid w:val="1B023953"/>
    <w:rsid w:val="1B060FC1"/>
    <w:rsid w:val="1B395327"/>
    <w:rsid w:val="1BCA7DF4"/>
    <w:rsid w:val="1C8C02FA"/>
    <w:rsid w:val="1CAB6A24"/>
    <w:rsid w:val="1CCE4908"/>
    <w:rsid w:val="1CD04A96"/>
    <w:rsid w:val="1CDB57FC"/>
    <w:rsid w:val="1D3677A6"/>
    <w:rsid w:val="1D742110"/>
    <w:rsid w:val="1D745F65"/>
    <w:rsid w:val="1D8A447A"/>
    <w:rsid w:val="1D983CA3"/>
    <w:rsid w:val="1DB97479"/>
    <w:rsid w:val="1DDF2D24"/>
    <w:rsid w:val="1E00169C"/>
    <w:rsid w:val="1E1D3900"/>
    <w:rsid w:val="1E212D2C"/>
    <w:rsid w:val="1E2C6CB9"/>
    <w:rsid w:val="1E511BB5"/>
    <w:rsid w:val="1EAE75DB"/>
    <w:rsid w:val="1EC17727"/>
    <w:rsid w:val="1ECB71A1"/>
    <w:rsid w:val="1F035D16"/>
    <w:rsid w:val="1F2F080F"/>
    <w:rsid w:val="1F6407C5"/>
    <w:rsid w:val="1F7028C6"/>
    <w:rsid w:val="1F717676"/>
    <w:rsid w:val="1F76517F"/>
    <w:rsid w:val="1F8B3AED"/>
    <w:rsid w:val="1FAF6052"/>
    <w:rsid w:val="1FEA36E9"/>
    <w:rsid w:val="202D0EEB"/>
    <w:rsid w:val="205E536B"/>
    <w:rsid w:val="20B964B3"/>
    <w:rsid w:val="2127407C"/>
    <w:rsid w:val="216E020D"/>
    <w:rsid w:val="21704106"/>
    <w:rsid w:val="21727DFB"/>
    <w:rsid w:val="217A3733"/>
    <w:rsid w:val="219001E6"/>
    <w:rsid w:val="21C74F6B"/>
    <w:rsid w:val="21F67E0F"/>
    <w:rsid w:val="223C612A"/>
    <w:rsid w:val="23DF5EBB"/>
    <w:rsid w:val="2415507E"/>
    <w:rsid w:val="247C01A4"/>
    <w:rsid w:val="24852CEE"/>
    <w:rsid w:val="248E0E5A"/>
    <w:rsid w:val="24921441"/>
    <w:rsid w:val="24BD7564"/>
    <w:rsid w:val="24D81A53"/>
    <w:rsid w:val="24E122EB"/>
    <w:rsid w:val="24E77BC1"/>
    <w:rsid w:val="24F075EF"/>
    <w:rsid w:val="250B21DD"/>
    <w:rsid w:val="2515180F"/>
    <w:rsid w:val="25207280"/>
    <w:rsid w:val="25235D17"/>
    <w:rsid w:val="25D941BF"/>
    <w:rsid w:val="2608639E"/>
    <w:rsid w:val="261916A8"/>
    <w:rsid w:val="261F7EFD"/>
    <w:rsid w:val="26343AF0"/>
    <w:rsid w:val="2656791A"/>
    <w:rsid w:val="26655914"/>
    <w:rsid w:val="267F7783"/>
    <w:rsid w:val="26BF2B7E"/>
    <w:rsid w:val="26D0546D"/>
    <w:rsid w:val="26E20231"/>
    <w:rsid w:val="26E95C38"/>
    <w:rsid w:val="26F8146C"/>
    <w:rsid w:val="26FB436E"/>
    <w:rsid w:val="275C1B58"/>
    <w:rsid w:val="27A85EB0"/>
    <w:rsid w:val="27AE12CD"/>
    <w:rsid w:val="27E60AD1"/>
    <w:rsid w:val="28A424D8"/>
    <w:rsid w:val="28B25F38"/>
    <w:rsid w:val="29B478FB"/>
    <w:rsid w:val="29D919B5"/>
    <w:rsid w:val="29EB35DC"/>
    <w:rsid w:val="2A401170"/>
    <w:rsid w:val="2A4946FE"/>
    <w:rsid w:val="2A6D2219"/>
    <w:rsid w:val="2A741842"/>
    <w:rsid w:val="2A87709E"/>
    <w:rsid w:val="2A883B17"/>
    <w:rsid w:val="2A894461"/>
    <w:rsid w:val="2A8F40FC"/>
    <w:rsid w:val="2AB37D2F"/>
    <w:rsid w:val="2ACB2345"/>
    <w:rsid w:val="2AD90904"/>
    <w:rsid w:val="2AED4495"/>
    <w:rsid w:val="2B5669B6"/>
    <w:rsid w:val="2B631DC9"/>
    <w:rsid w:val="2C1453EF"/>
    <w:rsid w:val="2C1A426B"/>
    <w:rsid w:val="2C285BFA"/>
    <w:rsid w:val="2C95308E"/>
    <w:rsid w:val="2CA261C4"/>
    <w:rsid w:val="2D003CDA"/>
    <w:rsid w:val="2D005F49"/>
    <w:rsid w:val="2D180B16"/>
    <w:rsid w:val="2D8B6497"/>
    <w:rsid w:val="2D9809C3"/>
    <w:rsid w:val="2DCD2D4F"/>
    <w:rsid w:val="2E157539"/>
    <w:rsid w:val="2E243225"/>
    <w:rsid w:val="2E3B16F7"/>
    <w:rsid w:val="2E8B6C27"/>
    <w:rsid w:val="2ECB21FF"/>
    <w:rsid w:val="2ED2364B"/>
    <w:rsid w:val="2ED57831"/>
    <w:rsid w:val="2F0C30B9"/>
    <w:rsid w:val="2F124AB0"/>
    <w:rsid w:val="2F1512CA"/>
    <w:rsid w:val="2FCA2425"/>
    <w:rsid w:val="30172FC7"/>
    <w:rsid w:val="3039671C"/>
    <w:rsid w:val="303F73E5"/>
    <w:rsid w:val="305A2C48"/>
    <w:rsid w:val="30684E56"/>
    <w:rsid w:val="30711152"/>
    <w:rsid w:val="30962462"/>
    <w:rsid w:val="30E84EB2"/>
    <w:rsid w:val="30F75AF5"/>
    <w:rsid w:val="31092827"/>
    <w:rsid w:val="3137421E"/>
    <w:rsid w:val="31506400"/>
    <w:rsid w:val="31892A9F"/>
    <w:rsid w:val="31AD0C8B"/>
    <w:rsid w:val="31B95C56"/>
    <w:rsid w:val="31BA5924"/>
    <w:rsid w:val="31CD41A8"/>
    <w:rsid w:val="322A59BC"/>
    <w:rsid w:val="325B085F"/>
    <w:rsid w:val="32CC4C19"/>
    <w:rsid w:val="32D05DFD"/>
    <w:rsid w:val="32D434E1"/>
    <w:rsid w:val="32DF6E6C"/>
    <w:rsid w:val="333D17B4"/>
    <w:rsid w:val="33610BC3"/>
    <w:rsid w:val="33725884"/>
    <w:rsid w:val="33B82198"/>
    <w:rsid w:val="33C73F06"/>
    <w:rsid w:val="34FA654D"/>
    <w:rsid w:val="350206E5"/>
    <w:rsid w:val="353A3DA2"/>
    <w:rsid w:val="353B12E5"/>
    <w:rsid w:val="355B1162"/>
    <w:rsid w:val="35811E42"/>
    <w:rsid w:val="35AB29DD"/>
    <w:rsid w:val="35C807B8"/>
    <w:rsid w:val="35F7624C"/>
    <w:rsid w:val="36092BA3"/>
    <w:rsid w:val="362A1763"/>
    <w:rsid w:val="36471F8B"/>
    <w:rsid w:val="367C4441"/>
    <w:rsid w:val="37226ED3"/>
    <w:rsid w:val="3740068C"/>
    <w:rsid w:val="379F1498"/>
    <w:rsid w:val="37A46854"/>
    <w:rsid w:val="37F7438C"/>
    <w:rsid w:val="38861294"/>
    <w:rsid w:val="388D5F3A"/>
    <w:rsid w:val="38917783"/>
    <w:rsid w:val="38923B15"/>
    <w:rsid w:val="38AB346C"/>
    <w:rsid w:val="38D37518"/>
    <w:rsid w:val="38FB5C8F"/>
    <w:rsid w:val="393937D7"/>
    <w:rsid w:val="39C52357"/>
    <w:rsid w:val="39E76845"/>
    <w:rsid w:val="3A1070E3"/>
    <w:rsid w:val="3A1D0DD8"/>
    <w:rsid w:val="3A295CD0"/>
    <w:rsid w:val="3AAF1335"/>
    <w:rsid w:val="3ADB63A2"/>
    <w:rsid w:val="3AE525B2"/>
    <w:rsid w:val="3B2B6D69"/>
    <w:rsid w:val="3B2E4D5A"/>
    <w:rsid w:val="3B461731"/>
    <w:rsid w:val="3B550AA3"/>
    <w:rsid w:val="3B782BED"/>
    <w:rsid w:val="3B902CB3"/>
    <w:rsid w:val="3BEA3CF6"/>
    <w:rsid w:val="3D1B1DE9"/>
    <w:rsid w:val="3D514078"/>
    <w:rsid w:val="3D9D3F21"/>
    <w:rsid w:val="3DA53CDF"/>
    <w:rsid w:val="3E0C652E"/>
    <w:rsid w:val="3E503843"/>
    <w:rsid w:val="3E841638"/>
    <w:rsid w:val="3E9A462A"/>
    <w:rsid w:val="3EB84660"/>
    <w:rsid w:val="3EEF1454"/>
    <w:rsid w:val="3F2203A3"/>
    <w:rsid w:val="3F4F1107"/>
    <w:rsid w:val="3FC20798"/>
    <w:rsid w:val="3FC93947"/>
    <w:rsid w:val="40466FDB"/>
    <w:rsid w:val="40773F96"/>
    <w:rsid w:val="40890A93"/>
    <w:rsid w:val="408C373D"/>
    <w:rsid w:val="40C50DE9"/>
    <w:rsid w:val="41135310"/>
    <w:rsid w:val="411D29D5"/>
    <w:rsid w:val="414B036A"/>
    <w:rsid w:val="41B537A4"/>
    <w:rsid w:val="41E62125"/>
    <w:rsid w:val="4204423D"/>
    <w:rsid w:val="4221584E"/>
    <w:rsid w:val="422B244F"/>
    <w:rsid w:val="42441329"/>
    <w:rsid w:val="42827FAD"/>
    <w:rsid w:val="43317989"/>
    <w:rsid w:val="43566349"/>
    <w:rsid w:val="435B222E"/>
    <w:rsid w:val="435F0738"/>
    <w:rsid w:val="4392013F"/>
    <w:rsid w:val="43D040A5"/>
    <w:rsid w:val="44031B5D"/>
    <w:rsid w:val="441377A8"/>
    <w:rsid w:val="444866D6"/>
    <w:rsid w:val="444B4685"/>
    <w:rsid w:val="44503F33"/>
    <w:rsid w:val="44625396"/>
    <w:rsid w:val="4464792B"/>
    <w:rsid w:val="44835843"/>
    <w:rsid w:val="44C6605C"/>
    <w:rsid w:val="44C759E8"/>
    <w:rsid w:val="455A078E"/>
    <w:rsid w:val="4587690C"/>
    <w:rsid w:val="459E6274"/>
    <w:rsid w:val="45D13C93"/>
    <w:rsid w:val="45D17BD8"/>
    <w:rsid w:val="45F5412F"/>
    <w:rsid w:val="465042E3"/>
    <w:rsid w:val="46AB653E"/>
    <w:rsid w:val="46EF6619"/>
    <w:rsid w:val="47257BDC"/>
    <w:rsid w:val="47266CAB"/>
    <w:rsid w:val="47275753"/>
    <w:rsid w:val="473138EC"/>
    <w:rsid w:val="47360CFA"/>
    <w:rsid w:val="47771AC7"/>
    <w:rsid w:val="47AA2DEC"/>
    <w:rsid w:val="47B80AB3"/>
    <w:rsid w:val="47DF69B7"/>
    <w:rsid w:val="47E97B40"/>
    <w:rsid w:val="481C6A6E"/>
    <w:rsid w:val="483D63B6"/>
    <w:rsid w:val="484F3C7E"/>
    <w:rsid w:val="487D4C04"/>
    <w:rsid w:val="48826E00"/>
    <w:rsid w:val="48B46BEF"/>
    <w:rsid w:val="48BF390E"/>
    <w:rsid w:val="49100CD7"/>
    <w:rsid w:val="49314D60"/>
    <w:rsid w:val="497E008F"/>
    <w:rsid w:val="49955938"/>
    <w:rsid w:val="49B056A9"/>
    <w:rsid w:val="49D61DBD"/>
    <w:rsid w:val="4A4778D9"/>
    <w:rsid w:val="4A532EBD"/>
    <w:rsid w:val="4AD7040C"/>
    <w:rsid w:val="4AFC6055"/>
    <w:rsid w:val="4B0E2A7E"/>
    <w:rsid w:val="4B345F2B"/>
    <w:rsid w:val="4B5A76FF"/>
    <w:rsid w:val="4B7762A1"/>
    <w:rsid w:val="4B7904A6"/>
    <w:rsid w:val="4BAE014B"/>
    <w:rsid w:val="4BBB11F2"/>
    <w:rsid w:val="4BF92C5B"/>
    <w:rsid w:val="4C397B4F"/>
    <w:rsid w:val="4C5173B5"/>
    <w:rsid w:val="4C6B0004"/>
    <w:rsid w:val="4C72572D"/>
    <w:rsid w:val="4D0C39AB"/>
    <w:rsid w:val="4D161339"/>
    <w:rsid w:val="4D4A3173"/>
    <w:rsid w:val="4D7E294C"/>
    <w:rsid w:val="4DCA6BD5"/>
    <w:rsid w:val="4DD115B4"/>
    <w:rsid w:val="4DE01E67"/>
    <w:rsid w:val="4E1C7F3E"/>
    <w:rsid w:val="4E5A0389"/>
    <w:rsid w:val="4E660121"/>
    <w:rsid w:val="4E66731A"/>
    <w:rsid w:val="4E783C2F"/>
    <w:rsid w:val="4E867B2E"/>
    <w:rsid w:val="4ED35F37"/>
    <w:rsid w:val="4F0369A4"/>
    <w:rsid w:val="4F9E443B"/>
    <w:rsid w:val="503D1CD1"/>
    <w:rsid w:val="50595446"/>
    <w:rsid w:val="506C0679"/>
    <w:rsid w:val="50BB4B17"/>
    <w:rsid w:val="50EB7180"/>
    <w:rsid w:val="512B60BA"/>
    <w:rsid w:val="516871B5"/>
    <w:rsid w:val="517E7133"/>
    <w:rsid w:val="5183233F"/>
    <w:rsid w:val="51D978CB"/>
    <w:rsid w:val="51F10D61"/>
    <w:rsid w:val="525F1ECA"/>
    <w:rsid w:val="528D45B1"/>
    <w:rsid w:val="52BA7BDC"/>
    <w:rsid w:val="52F12FDC"/>
    <w:rsid w:val="52F77142"/>
    <w:rsid w:val="53112AB6"/>
    <w:rsid w:val="537D5B1F"/>
    <w:rsid w:val="53885680"/>
    <w:rsid w:val="539E6EF5"/>
    <w:rsid w:val="53C53B8C"/>
    <w:rsid w:val="53E1653F"/>
    <w:rsid w:val="53FA68C0"/>
    <w:rsid w:val="54057494"/>
    <w:rsid w:val="541422AB"/>
    <w:rsid w:val="54917179"/>
    <w:rsid w:val="549A15F0"/>
    <w:rsid w:val="5500750A"/>
    <w:rsid w:val="55850336"/>
    <w:rsid w:val="5596123D"/>
    <w:rsid w:val="55F53294"/>
    <w:rsid w:val="55FC4973"/>
    <w:rsid w:val="560412AD"/>
    <w:rsid w:val="56661668"/>
    <w:rsid w:val="570F3EFA"/>
    <w:rsid w:val="572367A3"/>
    <w:rsid w:val="576E5A2F"/>
    <w:rsid w:val="57A82F18"/>
    <w:rsid w:val="57B23245"/>
    <w:rsid w:val="57C87810"/>
    <w:rsid w:val="5803251C"/>
    <w:rsid w:val="58151041"/>
    <w:rsid w:val="584D3D94"/>
    <w:rsid w:val="587F473C"/>
    <w:rsid w:val="58B103AB"/>
    <w:rsid w:val="58C008A5"/>
    <w:rsid w:val="58CE6083"/>
    <w:rsid w:val="58D30487"/>
    <w:rsid w:val="593410BE"/>
    <w:rsid w:val="59390F9A"/>
    <w:rsid w:val="59423841"/>
    <w:rsid w:val="59503A2E"/>
    <w:rsid w:val="595844A1"/>
    <w:rsid w:val="596428A4"/>
    <w:rsid w:val="596938FE"/>
    <w:rsid w:val="59771907"/>
    <w:rsid w:val="59845FDC"/>
    <w:rsid w:val="599F2EC1"/>
    <w:rsid w:val="59AD777A"/>
    <w:rsid w:val="59BC4F62"/>
    <w:rsid w:val="59E5547D"/>
    <w:rsid w:val="5A246F8E"/>
    <w:rsid w:val="5AB407E9"/>
    <w:rsid w:val="5B0C3FC3"/>
    <w:rsid w:val="5B765D6E"/>
    <w:rsid w:val="5C0F0724"/>
    <w:rsid w:val="5C5920C7"/>
    <w:rsid w:val="5CA11E4B"/>
    <w:rsid w:val="5CC66665"/>
    <w:rsid w:val="5D025C39"/>
    <w:rsid w:val="5D8D3511"/>
    <w:rsid w:val="5DA4506E"/>
    <w:rsid w:val="5E053EF1"/>
    <w:rsid w:val="5E62753D"/>
    <w:rsid w:val="5E661FE6"/>
    <w:rsid w:val="5E803211"/>
    <w:rsid w:val="5ED72AC2"/>
    <w:rsid w:val="5EE159F0"/>
    <w:rsid w:val="5EE402BC"/>
    <w:rsid w:val="5EFB15A9"/>
    <w:rsid w:val="5F0E152C"/>
    <w:rsid w:val="5F8D3833"/>
    <w:rsid w:val="5F9C06A7"/>
    <w:rsid w:val="5FA82DA2"/>
    <w:rsid w:val="5FB740A4"/>
    <w:rsid w:val="5FBD0649"/>
    <w:rsid w:val="5FD3471C"/>
    <w:rsid w:val="602256FA"/>
    <w:rsid w:val="60270995"/>
    <w:rsid w:val="60300224"/>
    <w:rsid w:val="60B72FB0"/>
    <w:rsid w:val="60BD3669"/>
    <w:rsid w:val="60D153F0"/>
    <w:rsid w:val="60EE720A"/>
    <w:rsid w:val="60F43210"/>
    <w:rsid w:val="60F9782C"/>
    <w:rsid w:val="61083CB9"/>
    <w:rsid w:val="61106812"/>
    <w:rsid w:val="612A4F36"/>
    <w:rsid w:val="619D3FDA"/>
    <w:rsid w:val="61C16631"/>
    <w:rsid w:val="61DF429C"/>
    <w:rsid w:val="61FD0E01"/>
    <w:rsid w:val="627F039A"/>
    <w:rsid w:val="62A819D0"/>
    <w:rsid w:val="62C124BF"/>
    <w:rsid w:val="62E13D2A"/>
    <w:rsid w:val="62EC7940"/>
    <w:rsid w:val="632A08C7"/>
    <w:rsid w:val="638C1840"/>
    <w:rsid w:val="63A1334C"/>
    <w:rsid w:val="63F77F38"/>
    <w:rsid w:val="640C6134"/>
    <w:rsid w:val="64123D7B"/>
    <w:rsid w:val="64177247"/>
    <w:rsid w:val="643F2933"/>
    <w:rsid w:val="64521B2A"/>
    <w:rsid w:val="648B1F20"/>
    <w:rsid w:val="64B3388A"/>
    <w:rsid w:val="64C11CDF"/>
    <w:rsid w:val="64CC610B"/>
    <w:rsid w:val="64D65719"/>
    <w:rsid w:val="659856A3"/>
    <w:rsid w:val="65997CF9"/>
    <w:rsid w:val="65B900C9"/>
    <w:rsid w:val="660A3387"/>
    <w:rsid w:val="66187F23"/>
    <w:rsid w:val="662F60B8"/>
    <w:rsid w:val="663533CF"/>
    <w:rsid w:val="66744139"/>
    <w:rsid w:val="667F5134"/>
    <w:rsid w:val="66957E9F"/>
    <w:rsid w:val="66AF403E"/>
    <w:rsid w:val="66CE0F8B"/>
    <w:rsid w:val="66DC176D"/>
    <w:rsid w:val="67301544"/>
    <w:rsid w:val="67423A4C"/>
    <w:rsid w:val="67486897"/>
    <w:rsid w:val="67492E72"/>
    <w:rsid w:val="674E14A5"/>
    <w:rsid w:val="67597D5B"/>
    <w:rsid w:val="677102A6"/>
    <w:rsid w:val="67A3096B"/>
    <w:rsid w:val="67FB4CE5"/>
    <w:rsid w:val="683E7CA1"/>
    <w:rsid w:val="683F5B66"/>
    <w:rsid w:val="685C30AB"/>
    <w:rsid w:val="6866181D"/>
    <w:rsid w:val="686D56CF"/>
    <w:rsid w:val="689275C1"/>
    <w:rsid w:val="68C728A6"/>
    <w:rsid w:val="68C738A9"/>
    <w:rsid w:val="68E75C2E"/>
    <w:rsid w:val="68EF26D2"/>
    <w:rsid w:val="69E048E4"/>
    <w:rsid w:val="69F82C10"/>
    <w:rsid w:val="6A3D54BB"/>
    <w:rsid w:val="6A462692"/>
    <w:rsid w:val="6A5E77A2"/>
    <w:rsid w:val="6A6D450C"/>
    <w:rsid w:val="6A6E367C"/>
    <w:rsid w:val="6A9867A8"/>
    <w:rsid w:val="6ABA1C3A"/>
    <w:rsid w:val="6AC44047"/>
    <w:rsid w:val="6AF00271"/>
    <w:rsid w:val="6AF0520D"/>
    <w:rsid w:val="6B166896"/>
    <w:rsid w:val="6B31565B"/>
    <w:rsid w:val="6B7E744A"/>
    <w:rsid w:val="6C0C505C"/>
    <w:rsid w:val="6C477611"/>
    <w:rsid w:val="6CAB69A8"/>
    <w:rsid w:val="6CBE1293"/>
    <w:rsid w:val="6CD34366"/>
    <w:rsid w:val="6D0464DC"/>
    <w:rsid w:val="6D102A04"/>
    <w:rsid w:val="6D1B07DA"/>
    <w:rsid w:val="6DBD106D"/>
    <w:rsid w:val="6DBE7DD8"/>
    <w:rsid w:val="6DEC2C9F"/>
    <w:rsid w:val="6DFC22E2"/>
    <w:rsid w:val="6E020305"/>
    <w:rsid w:val="6E1C062B"/>
    <w:rsid w:val="6E252855"/>
    <w:rsid w:val="6E2D073C"/>
    <w:rsid w:val="6E6C37F0"/>
    <w:rsid w:val="6E757233"/>
    <w:rsid w:val="6E777800"/>
    <w:rsid w:val="6EC743CE"/>
    <w:rsid w:val="6ECD4882"/>
    <w:rsid w:val="6EDD1597"/>
    <w:rsid w:val="6F2E3144"/>
    <w:rsid w:val="6F417A25"/>
    <w:rsid w:val="6F45735D"/>
    <w:rsid w:val="6F4B2449"/>
    <w:rsid w:val="6F6761BF"/>
    <w:rsid w:val="6F861F5D"/>
    <w:rsid w:val="6FA16ECD"/>
    <w:rsid w:val="70455C72"/>
    <w:rsid w:val="706152B1"/>
    <w:rsid w:val="70787B18"/>
    <w:rsid w:val="7089643C"/>
    <w:rsid w:val="70AC1B98"/>
    <w:rsid w:val="70D10E98"/>
    <w:rsid w:val="70F10792"/>
    <w:rsid w:val="7173566F"/>
    <w:rsid w:val="717A7F14"/>
    <w:rsid w:val="71C73438"/>
    <w:rsid w:val="71D357DF"/>
    <w:rsid w:val="71DC0042"/>
    <w:rsid w:val="71F73461"/>
    <w:rsid w:val="71FA51B4"/>
    <w:rsid w:val="720E76EC"/>
    <w:rsid w:val="72851BDE"/>
    <w:rsid w:val="72A6388B"/>
    <w:rsid w:val="73304972"/>
    <w:rsid w:val="73E12872"/>
    <w:rsid w:val="74112814"/>
    <w:rsid w:val="74315041"/>
    <w:rsid w:val="744E53EF"/>
    <w:rsid w:val="74546D67"/>
    <w:rsid w:val="74A071CD"/>
    <w:rsid w:val="75153716"/>
    <w:rsid w:val="7525795F"/>
    <w:rsid w:val="752E251A"/>
    <w:rsid w:val="753E1A17"/>
    <w:rsid w:val="75527BF0"/>
    <w:rsid w:val="757B5834"/>
    <w:rsid w:val="75AD53A7"/>
    <w:rsid w:val="75E64AC2"/>
    <w:rsid w:val="76137646"/>
    <w:rsid w:val="7618352A"/>
    <w:rsid w:val="762861B5"/>
    <w:rsid w:val="76C6025F"/>
    <w:rsid w:val="76F301D4"/>
    <w:rsid w:val="76F91811"/>
    <w:rsid w:val="773F2107"/>
    <w:rsid w:val="77737045"/>
    <w:rsid w:val="77D74437"/>
    <w:rsid w:val="7848080E"/>
    <w:rsid w:val="787A601C"/>
    <w:rsid w:val="78B545D3"/>
    <w:rsid w:val="78B6778B"/>
    <w:rsid w:val="79107E8E"/>
    <w:rsid w:val="79192024"/>
    <w:rsid w:val="792638C9"/>
    <w:rsid w:val="792822E4"/>
    <w:rsid w:val="79373069"/>
    <w:rsid w:val="79476FEC"/>
    <w:rsid w:val="79541C15"/>
    <w:rsid w:val="799F7976"/>
    <w:rsid w:val="79B6015F"/>
    <w:rsid w:val="79EB73E6"/>
    <w:rsid w:val="79F71524"/>
    <w:rsid w:val="7A15634D"/>
    <w:rsid w:val="7A4C1D67"/>
    <w:rsid w:val="7A4D212A"/>
    <w:rsid w:val="7AD249BD"/>
    <w:rsid w:val="7AD91D2E"/>
    <w:rsid w:val="7AF33DE0"/>
    <w:rsid w:val="7B155F4D"/>
    <w:rsid w:val="7B4C46EE"/>
    <w:rsid w:val="7B5850D6"/>
    <w:rsid w:val="7BA06427"/>
    <w:rsid w:val="7BC52524"/>
    <w:rsid w:val="7C1D3BDA"/>
    <w:rsid w:val="7C4476A9"/>
    <w:rsid w:val="7C48485F"/>
    <w:rsid w:val="7C9E2E81"/>
    <w:rsid w:val="7CD541B9"/>
    <w:rsid w:val="7CF9620B"/>
    <w:rsid w:val="7D211794"/>
    <w:rsid w:val="7D9C351C"/>
    <w:rsid w:val="7DBD158F"/>
    <w:rsid w:val="7DEB0649"/>
    <w:rsid w:val="7E697359"/>
    <w:rsid w:val="7E7B333D"/>
    <w:rsid w:val="7F097FA7"/>
    <w:rsid w:val="7F0B5EE6"/>
    <w:rsid w:val="7F112BC9"/>
    <w:rsid w:val="7F3F7FAB"/>
    <w:rsid w:val="7F865E72"/>
    <w:rsid w:val="7FBF31AB"/>
    <w:rsid w:val="7FF7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157"/>
    <w:qFormat/>
    <w:uiPriority w:val="0"/>
    <w:pPr>
      <w:keepNext/>
      <w:keepLines/>
      <w:spacing w:before="340" w:after="330" w:line="576" w:lineRule="auto"/>
      <w:outlineLvl w:val="0"/>
    </w:pPr>
    <w:rPr>
      <w:rFonts w:ascii="Times New Roman"/>
      <w:b/>
      <w:bCs/>
      <w:kern w:val="44"/>
      <w:sz w:val="30"/>
      <w:szCs w:val="44"/>
    </w:rPr>
  </w:style>
  <w:style w:type="paragraph" w:styleId="4">
    <w:name w:val="heading 2"/>
    <w:basedOn w:val="1"/>
    <w:next w:val="1"/>
    <w:link w:val="137"/>
    <w:qFormat/>
    <w:uiPriority w:val="0"/>
    <w:pPr>
      <w:keepNext/>
      <w:keepLines/>
      <w:spacing w:before="260" w:after="260" w:line="415" w:lineRule="auto"/>
      <w:ind w:firstLine="628"/>
      <w:jc w:val="center"/>
      <w:outlineLvl w:val="1"/>
    </w:pPr>
    <w:rPr>
      <w:rFonts w:ascii="Arial" w:hAnsi="Arial" w:eastAsia="黑体"/>
      <w:b/>
      <w:bCs/>
      <w:kern w:val="2"/>
      <w:sz w:val="32"/>
      <w:szCs w:val="32"/>
    </w:rPr>
  </w:style>
  <w:style w:type="paragraph" w:styleId="5">
    <w:name w:val="heading 3"/>
    <w:basedOn w:val="1"/>
    <w:next w:val="1"/>
    <w:link w:val="141"/>
    <w:qFormat/>
    <w:uiPriority w:val="0"/>
    <w:pPr>
      <w:keepNext/>
      <w:keepLines/>
      <w:spacing w:before="260" w:after="260" w:line="415" w:lineRule="auto"/>
      <w:jc w:val="center"/>
      <w:outlineLvl w:val="2"/>
    </w:pPr>
    <w:rPr>
      <w:b/>
      <w:bCs/>
      <w:kern w:val="2"/>
      <w:sz w:val="32"/>
      <w:szCs w:val="32"/>
    </w:rPr>
  </w:style>
  <w:style w:type="paragraph" w:styleId="6">
    <w:name w:val="heading 4"/>
    <w:basedOn w:val="1"/>
    <w:next w:val="1"/>
    <w:link w:val="143"/>
    <w:qFormat/>
    <w:uiPriority w:val="0"/>
    <w:pPr>
      <w:keepNext/>
      <w:keepLines/>
      <w:spacing w:before="280" w:after="290" w:line="374" w:lineRule="auto"/>
      <w:outlineLvl w:val="3"/>
    </w:pPr>
    <w:rPr>
      <w:rFonts w:ascii="Arial" w:hAnsi="Arial" w:eastAsia="黑体"/>
      <w:b/>
      <w:bCs/>
      <w:kern w:val="2"/>
      <w:sz w:val="28"/>
      <w:szCs w:val="28"/>
    </w:rPr>
  </w:style>
  <w:style w:type="paragraph" w:styleId="7">
    <w:name w:val="heading 5"/>
    <w:basedOn w:val="1"/>
    <w:next w:val="1"/>
    <w:link w:val="155"/>
    <w:qFormat/>
    <w:uiPriority w:val="0"/>
    <w:pPr>
      <w:keepNext/>
      <w:outlineLvl w:val="4"/>
    </w:pPr>
    <w:rPr>
      <w:rFonts w:hAnsi="Arial"/>
      <w:bCs/>
      <w:kern w:val="2"/>
      <w:sz w:val="28"/>
    </w:rPr>
  </w:style>
  <w:style w:type="paragraph" w:styleId="8">
    <w:name w:val="heading 6"/>
    <w:basedOn w:val="1"/>
    <w:next w:val="1"/>
    <w:link w:val="145"/>
    <w:qFormat/>
    <w:uiPriority w:val="0"/>
    <w:pPr>
      <w:keepNext/>
      <w:autoSpaceDE w:val="0"/>
      <w:autoSpaceDN w:val="0"/>
      <w:adjustRightInd w:val="0"/>
      <w:spacing w:before="156" w:beforeLines="50" w:after="156" w:afterLines="50" w:line="300" w:lineRule="exact"/>
      <w:jc w:val="center"/>
      <w:outlineLvl w:val="5"/>
    </w:pPr>
    <w:rPr>
      <w:rFonts w:hAnsi="宋体"/>
      <w:sz w:val="28"/>
    </w:rPr>
  </w:style>
  <w:style w:type="paragraph" w:styleId="9">
    <w:name w:val="heading 7"/>
    <w:basedOn w:val="1"/>
    <w:next w:val="1"/>
    <w:link w:val="162"/>
    <w:qFormat/>
    <w:uiPriority w:val="0"/>
    <w:pPr>
      <w:keepNext/>
      <w:keepLines/>
      <w:spacing w:before="240" w:after="64" w:line="319" w:lineRule="auto"/>
      <w:ind w:right="-24" w:rightChars="-10" w:firstLine="464" w:firstLineChars="225"/>
      <w:jc w:val="left"/>
      <w:outlineLvl w:val="6"/>
    </w:pPr>
    <w:rPr>
      <w:rFonts w:ascii="Arial" w:hAnsi="Arial" w:eastAsia="仿宋_GB2312" w:cs="Arial"/>
      <w:b/>
      <w:bCs/>
      <w:spacing w:val="-4"/>
      <w:kern w:val="2"/>
      <w:szCs w:val="24"/>
    </w:rPr>
  </w:style>
  <w:style w:type="paragraph" w:styleId="10">
    <w:name w:val="heading 8"/>
    <w:basedOn w:val="1"/>
    <w:next w:val="1"/>
    <w:link w:val="134"/>
    <w:qFormat/>
    <w:uiPriority w:val="0"/>
    <w:pPr>
      <w:keepNext/>
      <w:keepLines/>
      <w:widowControl/>
      <w:tabs>
        <w:tab w:val="left" w:pos="1440"/>
      </w:tabs>
      <w:spacing w:before="240" w:after="64" w:line="319" w:lineRule="auto"/>
      <w:ind w:left="1440" w:hanging="1440"/>
      <w:jc w:val="left"/>
      <w:outlineLvl w:val="7"/>
    </w:pPr>
    <w:rPr>
      <w:rFonts w:ascii="Arial" w:hAnsi="Arial" w:eastAsia="黑体"/>
      <w:szCs w:val="24"/>
    </w:rPr>
  </w:style>
  <w:style w:type="paragraph" w:styleId="11">
    <w:name w:val="heading 9"/>
    <w:basedOn w:val="1"/>
    <w:next w:val="1"/>
    <w:link w:val="161"/>
    <w:qFormat/>
    <w:uiPriority w:val="0"/>
    <w:pPr>
      <w:keepNext/>
      <w:keepLines/>
      <w:widowControl/>
      <w:tabs>
        <w:tab w:val="left" w:pos="1584"/>
      </w:tabs>
      <w:spacing w:before="240" w:after="64" w:line="319" w:lineRule="auto"/>
      <w:ind w:left="1584" w:hanging="1584"/>
      <w:jc w:val="left"/>
      <w:outlineLvl w:val="8"/>
    </w:pPr>
    <w:rPr>
      <w:rFonts w:ascii="Arial" w:hAnsi="Arial" w:eastAsia="黑体"/>
      <w:sz w:val="21"/>
      <w:szCs w:val="21"/>
    </w:rPr>
  </w:style>
  <w:style w:type="character" w:default="1" w:styleId="59">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2"/>
    <w:qFormat/>
    <w:uiPriority w:val="0"/>
    <w:rPr>
      <w:rFonts w:hAnsi="Courier New"/>
      <w:kern w:val="2"/>
      <w:sz w:val="21"/>
    </w:rPr>
  </w:style>
  <w:style w:type="paragraph" w:styleId="12">
    <w:name w:val="toc 7"/>
    <w:basedOn w:val="1"/>
    <w:next w:val="1"/>
    <w:uiPriority w:val="0"/>
    <w:pPr>
      <w:ind w:left="1260"/>
      <w:jc w:val="left"/>
    </w:pPr>
    <w:rPr>
      <w:szCs w:val="21"/>
    </w:rPr>
  </w:style>
  <w:style w:type="paragraph" w:styleId="13">
    <w:name w:val="table of authorities"/>
    <w:basedOn w:val="1"/>
    <w:next w:val="1"/>
    <w:uiPriority w:val="0"/>
    <w:pPr>
      <w:ind w:left="420" w:leftChars="200"/>
    </w:pPr>
  </w:style>
  <w:style w:type="paragraph" w:styleId="14">
    <w:name w:val="index 8"/>
    <w:basedOn w:val="1"/>
    <w:next w:val="1"/>
    <w:qFormat/>
    <w:uiPriority w:val="0"/>
    <w:pPr>
      <w:ind w:left="1400" w:leftChars="1400"/>
    </w:pPr>
  </w:style>
  <w:style w:type="paragraph" w:styleId="15">
    <w:name w:val="Normal Indent"/>
    <w:basedOn w:val="1"/>
    <w:qFormat/>
    <w:uiPriority w:val="0"/>
    <w:pPr>
      <w:ind w:firstLine="420" w:firstLineChars="200"/>
    </w:pPr>
    <w:rPr>
      <w:szCs w:val="24"/>
    </w:rPr>
  </w:style>
  <w:style w:type="paragraph" w:styleId="16">
    <w:name w:val="index 5"/>
    <w:basedOn w:val="1"/>
    <w:next w:val="1"/>
    <w:qFormat/>
    <w:uiPriority w:val="0"/>
    <w:pPr>
      <w:ind w:left="800" w:leftChars="800"/>
    </w:pPr>
  </w:style>
  <w:style w:type="paragraph" w:styleId="17">
    <w:name w:val="Document Map"/>
    <w:basedOn w:val="1"/>
    <w:link w:val="156"/>
    <w:qFormat/>
    <w:uiPriority w:val="0"/>
    <w:pPr>
      <w:shd w:val="clear" w:color="auto" w:fill="000080"/>
    </w:pPr>
    <w:rPr>
      <w:rFonts w:ascii="Times New Roman"/>
      <w:kern w:val="2"/>
      <w:sz w:val="21"/>
    </w:rPr>
  </w:style>
  <w:style w:type="paragraph" w:styleId="18">
    <w:name w:val="toa heading"/>
    <w:basedOn w:val="1"/>
    <w:next w:val="1"/>
    <w:qFormat/>
    <w:uiPriority w:val="0"/>
    <w:pPr>
      <w:spacing w:before="120"/>
    </w:pPr>
    <w:rPr>
      <w:rFonts w:ascii="Arial" w:hAnsi="Arial"/>
      <w:b/>
      <w:bCs/>
      <w:szCs w:val="24"/>
    </w:rPr>
  </w:style>
  <w:style w:type="paragraph" w:styleId="19">
    <w:name w:val="annotation text"/>
    <w:basedOn w:val="1"/>
    <w:link w:val="142"/>
    <w:qFormat/>
    <w:uiPriority w:val="0"/>
    <w:pPr>
      <w:jc w:val="left"/>
    </w:pPr>
    <w:rPr>
      <w:rFonts w:ascii="Times New Roman"/>
      <w:kern w:val="2"/>
      <w:sz w:val="21"/>
    </w:rPr>
  </w:style>
  <w:style w:type="paragraph" w:styleId="20">
    <w:name w:val="index 6"/>
    <w:basedOn w:val="1"/>
    <w:next w:val="1"/>
    <w:qFormat/>
    <w:uiPriority w:val="0"/>
    <w:pPr>
      <w:ind w:left="1000" w:leftChars="1000"/>
    </w:pPr>
  </w:style>
  <w:style w:type="paragraph" w:styleId="21">
    <w:name w:val="Salutation"/>
    <w:basedOn w:val="1"/>
    <w:next w:val="1"/>
    <w:qFormat/>
    <w:uiPriority w:val="0"/>
    <w:rPr>
      <w:rFonts w:ascii="仿宋_GB2312" w:eastAsia="仿宋_GB2312"/>
      <w:sz w:val="28"/>
    </w:rPr>
  </w:style>
  <w:style w:type="paragraph" w:styleId="22">
    <w:name w:val="Body Text 3"/>
    <w:basedOn w:val="1"/>
    <w:link w:val="154"/>
    <w:qFormat/>
    <w:uiPriority w:val="0"/>
    <w:rPr>
      <w:rFonts w:ascii="黑体" w:hAnsi="Arial" w:eastAsia="黑体"/>
      <w:b/>
      <w:sz w:val="28"/>
    </w:rPr>
  </w:style>
  <w:style w:type="paragraph" w:styleId="23">
    <w:name w:val="Body Text"/>
    <w:basedOn w:val="1"/>
    <w:link w:val="140"/>
    <w:qFormat/>
    <w:uiPriority w:val="0"/>
    <w:rPr>
      <w:rFonts w:hAnsi="Arial"/>
      <w:kern w:val="2"/>
      <w:sz w:val="28"/>
    </w:rPr>
  </w:style>
  <w:style w:type="paragraph" w:styleId="24">
    <w:name w:val="Body Text Indent"/>
    <w:basedOn w:val="1"/>
    <w:link w:val="135"/>
    <w:qFormat/>
    <w:uiPriority w:val="0"/>
    <w:pPr>
      <w:ind w:firstLine="645"/>
    </w:pPr>
    <w:rPr>
      <w:rFonts w:ascii="楷体_GB2312" w:eastAsia="楷体_GB2312"/>
      <w:kern w:val="2"/>
      <w:sz w:val="32"/>
    </w:rPr>
  </w:style>
  <w:style w:type="paragraph" w:styleId="25">
    <w:name w:val="List 2"/>
    <w:basedOn w:val="1"/>
    <w:qFormat/>
    <w:uiPriority w:val="0"/>
    <w:pPr>
      <w:ind w:left="100" w:leftChars="200" w:hanging="200" w:hangingChars="200"/>
    </w:pPr>
    <w:rPr>
      <w:szCs w:val="24"/>
    </w:rPr>
  </w:style>
  <w:style w:type="paragraph" w:styleId="26">
    <w:name w:val="List Continue"/>
    <w:basedOn w:val="1"/>
    <w:qFormat/>
    <w:uiPriority w:val="0"/>
    <w:pPr>
      <w:spacing w:after="120"/>
      <w:ind w:left="420" w:leftChars="200"/>
    </w:pPr>
    <w:rPr>
      <w:szCs w:val="24"/>
    </w:rPr>
  </w:style>
  <w:style w:type="paragraph" w:styleId="27">
    <w:name w:val="Block Text"/>
    <w:basedOn w:val="1"/>
    <w:qFormat/>
    <w:uiPriority w:val="0"/>
    <w:pPr>
      <w:spacing w:after="120"/>
      <w:ind w:left="1440" w:leftChars="700" w:right="1440" w:rightChars="700"/>
    </w:pPr>
    <w:rPr>
      <w:szCs w:val="24"/>
    </w:rPr>
  </w:style>
  <w:style w:type="paragraph" w:styleId="28">
    <w:name w:val="index 4"/>
    <w:basedOn w:val="1"/>
    <w:next w:val="1"/>
    <w:qFormat/>
    <w:uiPriority w:val="0"/>
    <w:pPr>
      <w:ind w:left="600" w:leftChars="600"/>
    </w:pPr>
  </w:style>
  <w:style w:type="paragraph" w:styleId="29">
    <w:name w:val="toc 5"/>
    <w:basedOn w:val="1"/>
    <w:next w:val="1"/>
    <w:qFormat/>
    <w:uiPriority w:val="0"/>
    <w:pPr>
      <w:ind w:left="840"/>
      <w:jc w:val="left"/>
    </w:pPr>
    <w:rPr>
      <w:szCs w:val="21"/>
    </w:rPr>
  </w:style>
  <w:style w:type="paragraph" w:styleId="30">
    <w:name w:val="toc 3"/>
    <w:basedOn w:val="1"/>
    <w:next w:val="1"/>
    <w:qFormat/>
    <w:uiPriority w:val="39"/>
    <w:pPr>
      <w:ind w:left="420"/>
      <w:jc w:val="left"/>
    </w:pPr>
    <w:rPr>
      <w:i/>
      <w:iCs/>
      <w:szCs w:val="24"/>
    </w:rPr>
  </w:style>
  <w:style w:type="paragraph" w:styleId="31">
    <w:name w:val="toc 8"/>
    <w:basedOn w:val="1"/>
    <w:next w:val="1"/>
    <w:qFormat/>
    <w:uiPriority w:val="0"/>
    <w:pPr>
      <w:ind w:left="1470"/>
      <w:jc w:val="left"/>
    </w:pPr>
    <w:rPr>
      <w:szCs w:val="21"/>
    </w:rPr>
  </w:style>
  <w:style w:type="paragraph" w:styleId="32">
    <w:name w:val="index 3"/>
    <w:basedOn w:val="1"/>
    <w:next w:val="1"/>
    <w:qFormat/>
    <w:uiPriority w:val="0"/>
    <w:pPr>
      <w:ind w:left="400" w:leftChars="400"/>
    </w:pPr>
  </w:style>
  <w:style w:type="paragraph" w:styleId="33">
    <w:name w:val="Date"/>
    <w:basedOn w:val="1"/>
    <w:next w:val="1"/>
    <w:link w:val="160"/>
    <w:qFormat/>
    <w:uiPriority w:val="0"/>
    <w:rPr>
      <w:rFonts w:ascii="Times New Roman"/>
      <w:b/>
      <w:kern w:val="2"/>
      <w:sz w:val="28"/>
    </w:rPr>
  </w:style>
  <w:style w:type="paragraph" w:styleId="34">
    <w:name w:val="Body Text Indent 2"/>
    <w:basedOn w:val="1"/>
    <w:qFormat/>
    <w:uiPriority w:val="0"/>
    <w:pPr>
      <w:ind w:left="630" w:firstLine="645"/>
    </w:pPr>
    <w:rPr>
      <w:rFonts w:ascii="Arial" w:hAnsi="Arial" w:eastAsia="仿宋_GB2312"/>
      <w:sz w:val="32"/>
    </w:rPr>
  </w:style>
  <w:style w:type="paragraph" w:styleId="35">
    <w:name w:val="Balloon Text"/>
    <w:basedOn w:val="1"/>
    <w:qFormat/>
    <w:uiPriority w:val="0"/>
    <w:rPr>
      <w:sz w:val="18"/>
      <w:szCs w:val="18"/>
    </w:rPr>
  </w:style>
  <w:style w:type="paragraph" w:styleId="36">
    <w:name w:val="footer"/>
    <w:basedOn w:val="1"/>
    <w:link w:val="159"/>
    <w:qFormat/>
    <w:uiPriority w:val="0"/>
    <w:pPr>
      <w:tabs>
        <w:tab w:val="center" w:pos="4153"/>
        <w:tab w:val="right" w:pos="8306"/>
      </w:tabs>
      <w:snapToGrid w:val="0"/>
      <w:jc w:val="left"/>
    </w:pPr>
    <w:rPr>
      <w:rFonts w:ascii="Times New Roman"/>
      <w:kern w:val="2"/>
      <w:sz w:val="18"/>
    </w:rPr>
  </w:style>
  <w:style w:type="paragraph" w:styleId="37">
    <w:name w:val="header"/>
    <w:basedOn w:val="1"/>
    <w:link w:val="150"/>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38">
    <w:name w:val="toc 1"/>
    <w:basedOn w:val="1"/>
    <w:next w:val="1"/>
    <w:qFormat/>
    <w:uiPriority w:val="39"/>
    <w:pPr>
      <w:spacing w:before="120" w:after="120"/>
      <w:jc w:val="left"/>
    </w:pPr>
    <w:rPr>
      <w:caps/>
      <w:szCs w:val="24"/>
    </w:rPr>
  </w:style>
  <w:style w:type="paragraph" w:styleId="39">
    <w:name w:val="toc 4"/>
    <w:basedOn w:val="1"/>
    <w:next w:val="1"/>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uiPriority w:val="0"/>
    <w:pPr>
      <w:spacing w:line="300" w:lineRule="exact"/>
    </w:pPr>
    <w:rPr>
      <w:rFonts w:hAnsi="宋体"/>
      <w:b/>
      <w:bCs/>
      <w:szCs w:val="21"/>
    </w:rPr>
  </w:style>
  <w:style w:type="paragraph" w:styleId="42">
    <w:name w:val="Subtitle"/>
    <w:basedOn w:val="1"/>
    <w:link w:val="153"/>
    <w:qFormat/>
    <w:uiPriority w:val="0"/>
    <w:pPr>
      <w:spacing w:before="240" w:after="60" w:line="312" w:lineRule="auto"/>
      <w:jc w:val="center"/>
      <w:outlineLvl w:val="1"/>
    </w:pPr>
    <w:rPr>
      <w:rFonts w:ascii="Arial" w:hAnsi="Arial" w:cs="Arial"/>
      <w:b/>
      <w:bCs/>
      <w:kern w:val="28"/>
      <w:sz w:val="32"/>
      <w:szCs w:val="32"/>
    </w:rPr>
  </w:style>
  <w:style w:type="paragraph" w:styleId="43">
    <w:name w:val="List"/>
    <w:basedOn w:val="1"/>
    <w:qFormat/>
    <w:uiPriority w:val="0"/>
    <w:pPr>
      <w:ind w:left="200" w:hanging="200" w:hangingChars="200"/>
    </w:pPr>
    <w:rPr>
      <w:szCs w:val="24"/>
    </w:rPr>
  </w:style>
  <w:style w:type="paragraph" w:styleId="44">
    <w:name w:val="toc 6"/>
    <w:basedOn w:val="1"/>
    <w:next w:val="1"/>
    <w:qFormat/>
    <w:uiPriority w:val="0"/>
    <w:pPr>
      <w:ind w:left="1050"/>
      <w:jc w:val="left"/>
    </w:pPr>
    <w:rPr>
      <w:szCs w:val="21"/>
    </w:rPr>
  </w:style>
  <w:style w:type="paragraph" w:styleId="45">
    <w:name w:val="Body Text Indent 3"/>
    <w:basedOn w:val="1"/>
    <w:qFormat/>
    <w:uiPriority w:val="0"/>
    <w:pPr>
      <w:ind w:firstLine="645"/>
    </w:pPr>
    <w:rPr>
      <w:rFonts w:ascii="仿宋_GB2312" w:hAnsi="Arial" w:eastAsia="仿宋_GB2312"/>
      <w:color w:val="000000"/>
      <w:sz w:val="30"/>
    </w:rPr>
  </w:style>
  <w:style w:type="paragraph" w:styleId="46">
    <w:name w:val="index 7"/>
    <w:basedOn w:val="1"/>
    <w:next w:val="1"/>
    <w:qFormat/>
    <w:uiPriority w:val="0"/>
    <w:pPr>
      <w:ind w:left="1200" w:leftChars="1200"/>
    </w:pPr>
  </w:style>
  <w:style w:type="paragraph" w:styleId="47">
    <w:name w:val="index 9"/>
    <w:basedOn w:val="1"/>
    <w:next w:val="1"/>
    <w:qFormat/>
    <w:uiPriority w:val="0"/>
    <w:pPr>
      <w:ind w:left="1600" w:leftChars="1600"/>
    </w:pPr>
  </w:style>
  <w:style w:type="paragraph" w:styleId="48">
    <w:name w:val="toc 2"/>
    <w:basedOn w:val="1"/>
    <w:next w:val="1"/>
    <w:qFormat/>
    <w:uiPriority w:val="39"/>
    <w:pPr>
      <w:ind w:left="210"/>
      <w:jc w:val="left"/>
    </w:pPr>
    <w:rPr>
      <w:smallCaps/>
      <w:sz w:val="28"/>
      <w:szCs w:val="24"/>
    </w:rPr>
  </w:style>
  <w:style w:type="paragraph" w:styleId="49">
    <w:name w:val="toc 9"/>
    <w:basedOn w:val="1"/>
    <w:next w:val="1"/>
    <w:qFormat/>
    <w:uiPriority w:val="0"/>
    <w:pPr>
      <w:ind w:left="1680"/>
      <w:jc w:val="left"/>
    </w:pPr>
    <w:rPr>
      <w:szCs w:val="21"/>
    </w:rPr>
  </w:style>
  <w:style w:type="paragraph" w:styleId="50">
    <w:name w:val="Body Text 2"/>
    <w:basedOn w:val="1"/>
    <w:qFormat/>
    <w:uiPriority w:val="0"/>
    <w:rPr>
      <w:rFonts w:ascii="仿宋_GB2312" w:eastAsia="仿宋_GB2312"/>
      <w:b/>
    </w:rPr>
  </w:style>
  <w:style w:type="paragraph" w:styleId="5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rPr>
  </w:style>
  <w:style w:type="paragraph" w:styleId="52">
    <w:name w:val="Normal (Web)"/>
    <w:basedOn w:val="1"/>
    <w:qFormat/>
    <w:uiPriority w:val="0"/>
    <w:pPr>
      <w:widowControl/>
      <w:spacing w:before="100" w:beforeAutospacing="1" w:after="100" w:afterAutospacing="1"/>
      <w:jc w:val="left"/>
    </w:pPr>
    <w:rPr>
      <w:rFonts w:hAnsi="宋体"/>
      <w:szCs w:val="24"/>
    </w:rPr>
  </w:style>
  <w:style w:type="paragraph" w:styleId="53">
    <w:name w:val="index 2"/>
    <w:basedOn w:val="1"/>
    <w:next w:val="1"/>
    <w:qFormat/>
    <w:uiPriority w:val="0"/>
    <w:pPr>
      <w:ind w:left="200" w:leftChars="200"/>
    </w:pPr>
  </w:style>
  <w:style w:type="paragraph" w:styleId="54">
    <w:name w:val="Title"/>
    <w:basedOn w:val="1"/>
    <w:next w:val="1"/>
    <w:link w:val="149"/>
    <w:qFormat/>
    <w:uiPriority w:val="0"/>
    <w:pPr>
      <w:spacing w:before="240" w:after="60"/>
      <w:jc w:val="center"/>
      <w:outlineLvl w:val="0"/>
    </w:pPr>
    <w:rPr>
      <w:rFonts w:ascii="Cambria" w:hAnsi="Cambria"/>
      <w:b/>
      <w:bCs/>
      <w:kern w:val="2"/>
      <w:sz w:val="32"/>
      <w:szCs w:val="32"/>
    </w:rPr>
  </w:style>
  <w:style w:type="paragraph" w:styleId="55">
    <w:name w:val="annotation subject"/>
    <w:basedOn w:val="19"/>
    <w:next w:val="19"/>
    <w:link w:val="148"/>
    <w:qFormat/>
    <w:uiPriority w:val="0"/>
    <w:rPr>
      <w:rFonts w:ascii="宋体"/>
      <w:b/>
      <w:bCs/>
      <w:kern w:val="0"/>
      <w:sz w:val="28"/>
    </w:rPr>
  </w:style>
  <w:style w:type="paragraph" w:styleId="56">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57">
    <w:name w:val="Body Text First Indent 2"/>
    <w:basedOn w:val="24"/>
    <w:next w:val="1"/>
    <w:qFormat/>
    <w:uiPriority w:val="0"/>
    <w:pPr>
      <w:ind w:firstLine="420" w:firstLineChars="200"/>
    </w:p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4D4D4D"/>
      <w:u w:val="none"/>
    </w:rPr>
  </w:style>
  <w:style w:type="character" w:styleId="63">
    <w:name w:val="Emphasis"/>
    <w:qFormat/>
    <w:uiPriority w:val="0"/>
    <w:rPr>
      <w:color w:val="CC0033"/>
    </w:rPr>
  </w:style>
  <w:style w:type="character" w:styleId="64">
    <w:name w:val="HTML Definition"/>
    <w:unhideWhenUsed/>
    <w:qFormat/>
    <w:uiPriority w:val="99"/>
  </w:style>
  <w:style w:type="character" w:styleId="65">
    <w:name w:val="HTML Acronym"/>
    <w:basedOn w:val="59"/>
    <w:unhideWhenUsed/>
    <w:qFormat/>
    <w:uiPriority w:val="99"/>
  </w:style>
  <w:style w:type="character" w:styleId="66">
    <w:name w:val="HTML Variable"/>
    <w:unhideWhenUsed/>
    <w:qFormat/>
    <w:uiPriority w:val="99"/>
  </w:style>
  <w:style w:type="character" w:styleId="67">
    <w:name w:val="Hyperlink"/>
    <w:qFormat/>
    <w:uiPriority w:val="99"/>
    <w:rPr>
      <w:color w:val="4D4D4D"/>
      <w:u w:val="none"/>
    </w:rPr>
  </w:style>
  <w:style w:type="character" w:styleId="68">
    <w:name w:val="HTML Code"/>
    <w:unhideWhenUsed/>
    <w:qFormat/>
    <w:uiPriority w:val="99"/>
    <w:rPr>
      <w:rFonts w:ascii="Consolas" w:hAnsi="Consolas" w:eastAsia="Consolas" w:cs="Consolas"/>
      <w:color w:val="DD1144"/>
      <w:sz w:val="18"/>
      <w:szCs w:val="18"/>
      <w:bdr w:val="single" w:color="E1E1E8" w:sz="6" w:space="0"/>
      <w:shd w:val="clear" w:color="auto" w:fill="F7F7F9"/>
    </w:rPr>
  </w:style>
  <w:style w:type="character" w:styleId="69">
    <w:name w:val="annotation reference"/>
    <w:unhideWhenUsed/>
    <w:qFormat/>
    <w:uiPriority w:val="99"/>
    <w:rPr>
      <w:sz w:val="21"/>
      <w:szCs w:val="21"/>
    </w:rPr>
  </w:style>
  <w:style w:type="character" w:styleId="70">
    <w:name w:val="HTML Cite"/>
    <w:unhideWhenUsed/>
    <w:qFormat/>
    <w:uiPriority w:val="99"/>
  </w:style>
  <w:style w:type="paragraph" w:customStyle="1" w:styleId="71">
    <w:name w:val="二级标题"/>
    <w:basedOn w:val="1"/>
    <w:next w:val="72"/>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72">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szCs w:val="24"/>
    </w:rPr>
  </w:style>
  <w:style w:type="paragraph" w:customStyle="1" w:styleId="7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Cs w:val="24"/>
    </w:rPr>
  </w:style>
  <w:style w:type="paragraph" w:customStyle="1" w:styleId="74">
    <w:name w:val="p0"/>
    <w:basedOn w:val="1"/>
    <w:qFormat/>
    <w:uiPriority w:val="0"/>
    <w:pPr>
      <w:widowControl/>
    </w:pPr>
    <w:rPr>
      <w:rFonts w:cs="宋体"/>
      <w:szCs w:val="21"/>
    </w:rPr>
  </w:style>
  <w:style w:type="paragraph" w:styleId="75">
    <w:name w:val="List Paragraph"/>
    <w:basedOn w:val="1"/>
    <w:qFormat/>
    <w:uiPriority w:val="0"/>
    <w:pPr>
      <w:ind w:firstLine="420" w:firstLineChars="200"/>
    </w:pPr>
    <w:rPr>
      <w:rFonts w:ascii="Calibri" w:hAnsi="Calibri"/>
      <w:szCs w:val="22"/>
    </w:rPr>
  </w:style>
  <w:style w:type="paragraph" w:customStyle="1" w:styleId="76">
    <w:name w:val="xl43"/>
    <w:basedOn w:val="1"/>
    <w:qFormat/>
    <w:uiPriority w:val="0"/>
    <w:pPr>
      <w:widowControl/>
      <w:spacing w:before="100" w:beforeAutospacing="1" w:after="100" w:afterAutospacing="1"/>
      <w:jc w:val="left"/>
      <w:textAlignment w:val="top"/>
    </w:pPr>
    <w:rPr>
      <w:rFonts w:hAnsi="宋体"/>
      <w:szCs w:val="24"/>
    </w:rPr>
  </w:style>
  <w:style w:type="paragraph" w:customStyle="1" w:styleId="77">
    <w:name w:val="目录"/>
    <w:basedOn w:val="1"/>
    <w:qFormat/>
    <w:uiPriority w:val="0"/>
    <w:pPr>
      <w:widowControl/>
      <w:jc w:val="center"/>
    </w:pPr>
    <w:rPr>
      <w:b/>
      <w:sz w:val="36"/>
    </w:rPr>
  </w:style>
  <w:style w:type="paragraph" w:customStyle="1" w:styleId="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79">
    <w:name w:val="标题4"/>
    <w:basedOn w:val="4"/>
    <w:next w:val="28"/>
    <w:link w:val="138"/>
    <w:qFormat/>
    <w:uiPriority w:val="0"/>
    <w:pPr>
      <w:spacing w:line="413" w:lineRule="auto"/>
      <w:ind w:firstLine="0"/>
      <w:jc w:val="both"/>
    </w:pPr>
    <w:rPr>
      <w:rFonts w:eastAsia="宋体"/>
      <w:kern w:val="0"/>
      <w:sz w:val="24"/>
    </w:rPr>
  </w:style>
  <w:style w:type="paragraph" w:customStyle="1" w:styleId="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2"/>
      <w:szCs w:val="22"/>
    </w:rPr>
  </w:style>
  <w:style w:type="paragraph" w:customStyle="1" w:styleId="81">
    <w:name w:val="样式1"/>
    <w:basedOn w:val="1"/>
    <w:qFormat/>
    <w:uiPriority w:val="0"/>
    <w:pPr>
      <w:numPr>
        <w:ilvl w:val="0"/>
        <w:numId w:val="2"/>
      </w:numPr>
      <w:adjustRightInd w:val="0"/>
      <w:textAlignment w:val="baseline"/>
    </w:pPr>
    <w:rPr>
      <w:rFonts w:hAnsi="宋体"/>
    </w:rPr>
  </w:style>
  <w:style w:type="paragraph" w:customStyle="1" w:styleId="82">
    <w:name w:val="_Style 8"/>
    <w:basedOn w:val="1"/>
    <w:qFormat/>
    <w:uiPriority w:val="0"/>
  </w:style>
  <w:style w:type="paragraph" w:customStyle="1" w:styleId="83">
    <w:name w:val="xl31"/>
    <w:basedOn w:val="1"/>
    <w:qFormat/>
    <w:uiPriority w:val="0"/>
    <w:pPr>
      <w:widowControl/>
      <w:spacing w:before="100" w:beforeAutospacing="1" w:after="100" w:afterAutospacing="1"/>
      <w:jc w:val="center"/>
    </w:pPr>
    <w:rPr>
      <w:rFonts w:hAnsi="宋体"/>
      <w:b/>
      <w:bCs/>
      <w:sz w:val="28"/>
      <w:szCs w:val="28"/>
    </w:rPr>
  </w:style>
  <w:style w:type="paragraph" w:customStyle="1" w:styleId="8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szCs w:val="24"/>
    </w:rPr>
  </w:style>
  <w:style w:type="paragraph" w:customStyle="1" w:styleId="8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Cs w:val="24"/>
    </w:rPr>
  </w:style>
  <w:style w:type="paragraph" w:customStyle="1" w:styleId="86">
    <w:name w:val="xl45"/>
    <w:basedOn w:val="1"/>
    <w:qFormat/>
    <w:uiPriority w:val="0"/>
    <w:pPr>
      <w:widowControl/>
      <w:spacing w:before="100" w:beforeAutospacing="1" w:after="100" w:afterAutospacing="1"/>
      <w:jc w:val="left"/>
      <w:textAlignment w:val="top"/>
    </w:pPr>
    <w:rPr>
      <w:rFonts w:hAnsi="宋体"/>
      <w:szCs w:val="24"/>
    </w:rPr>
  </w:style>
  <w:style w:type="paragraph" w:customStyle="1" w:styleId="87">
    <w:name w:val="Char Char Char Char Char"/>
    <w:basedOn w:val="1"/>
    <w:qFormat/>
    <w:uiPriority w:val="0"/>
    <w:rPr>
      <w:rFonts w:ascii="Tahoma" w:hAnsi="Tahoma"/>
    </w:rPr>
  </w:style>
  <w:style w:type="paragraph" w:customStyle="1" w:styleId="8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89">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szCs w:val="24"/>
    </w:rPr>
  </w:style>
  <w:style w:type="paragraph" w:customStyle="1" w:styleId="91">
    <w:name w:val="普通 (Web)"/>
    <w:basedOn w:val="1"/>
    <w:qFormat/>
    <w:uiPriority w:val="0"/>
    <w:pPr>
      <w:widowControl/>
      <w:spacing w:before="100" w:beforeAutospacing="1" w:after="100" w:afterAutospacing="1"/>
      <w:jc w:val="left"/>
    </w:pPr>
    <w:rPr>
      <w:rFonts w:hAnsi="宋体"/>
      <w:szCs w:val="24"/>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Cs w:val="24"/>
    </w:rPr>
  </w:style>
  <w:style w:type="paragraph" w:customStyle="1" w:styleId="93">
    <w:name w:val="font6"/>
    <w:basedOn w:val="1"/>
    <w:qFormat/>
    <w:uiPriority w:val="0"/>
    <w:pPr>
      <w:widowControl/>
      <w:spacing w:before="100" w:beforeAutospacing="1" w:after="100" w:afterAutospacing="1"/>
      <w:jc w:val="left"/>
    </w:pPr>
    <w:rPr>
      <w:rFonts w:hint="eastAsia" w:hAnsi="宋体"/>
      <w:sz w:val="18"/>
      <w:szCs w:val="18"/>
    </w:rPr>
  </w:style>
  <w:style w:type="paragraph" w:customStyle="1" w:styleId="94">
    <w:name w:val="Char Char Char Char Char Char Char1 Char"/>
    <w:basedOn w:val="1"/>
    <w:qFormat/>
    <w:uiPriority w:val="0"/>
    <w:rPr>
      <w:rFonts w:ascii="Tahoma" w:hAnsi="Tahoma"/>
    </w:rPr>
  </w:style>
  <w:style w:type="paragraph" w:customStyle="1" w:styleId="95">
    <w:name w:val="Char Char Char Char"/>
    <w:basedOn w:val="1"/>
    <w:qFormat/>
    <w:uiPriority w:val="0"/>
    <w:pPr>
      <w:widowControl/>
      <w:spacing w:after="160" w:line="240" w:lineRule="exact"/>
      <w:jc w:val="left"/>
    </w:pPr>
    <w:rPr>
      <w:rFonts w:ascii="Verdana" w:hAnsi="Verdana" w:eastAsia="Times New Roman"/>
      <w:sz w:val="20"/>
      <w:lang w:eastAsia="en-US"/>
    </w:rPr>
  </w:style>
  <w:style w:type="paragraph" w:customStyle="1" w:styleId="96">
    <w:name w:val="font8"/>
    <w:basedOn w:val="1"/>
    <w:qFormat/>
    <w:uiPriority w:val="0"/>
    <w:pPr>
      <w:widowControl/>
      <w:spacing w:before="100" w:beforeAutospacing="1" w:after="100" w:afterAutospacing="1"/>
      <w:jc w:val="left"/>
    </w:pPr>
    <w:rPr>
      <w:rFonts w:hint="eastAsia" w:hAnsi="宋体"/>
      <w:color w:val="000000"/>
      <w:sz w:val="32"/>
      <w:szCs w:val="32"/>
    </w:rPr>
  </w:style>
  <w:style w:type="paragraph" w:customStyle="1" w:styleId="97">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sz w:val="32"/>
      <w:szCs w:val="32"/>
    </w:rPr>
  </w:style>
  <w:style w:type="paragraph" w:customStyle="1" w:styleId="99">
    <w:name w:val="pa-4"/>
    <w:basedOn w:val="1"/>
    <w:qFormat/>
    <w:uiPriority w:val="0"/>
    <w:pPr>
      <w:widowControl/>
      <w:spacing w:before="100" w:beforeAutospacing="1" w:after="100" w:afterAutospacing="1" w:line="320" w:lineRule="atLeast"/>
      <w:ind w:firstLine="420"/>
    </w:pPr>
    <w:rPr>
      <w:rFonts w:hAnsi="宋体" w:cs="宋体"/>
      <w:szCs w:val="24"/>
    </w:rPr>
  </w:style>
  <w:style w:type="paragraph" w:customStyle="1" w:styleId="100">
    <w:name w:val="xl42"/>
    <w:basedOn w:val="1"/>
    <w:qFormat/>
    <w:uiPriority w:val="0"/>
    <w:pPr>
      <w:widowControl/>
      <w:spacing w:before="100" w:beforeAutospacing="1" w:after="100" w:afterAutospacing="1"/>
      <w:jc w:val="center"/>
      <w:textAlignment w:val="center"/>
    </w:pPr>
    <w:rPr>
      <w:rFonts w:hAnsi="宋体"/>
      <w:b/>
      <w:bCs/>
      <w:sz w:val="32"/>
      <w:szCs w:val="32"/>
    </w:rPr>
  </w:style>
  <w:style w:type="paragraph" w:customStyle="1" w:styleId="10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sz w:val="32"/>
      <w:szCs w:val="32"/>
    </w:rPr>
  </w:style>
  <w:style w:type="paragraph" w:customStyle="1" w:styleId="1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10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Cs w:val="24"/>
    </w:rPr>
  </w:style>
  <w:style w:type="paragraph" w:customStyle="1" w:styleId="104">
    <w:name w:val="标题5"/>
    <w:basedOn w:val="5"/>
    <w:link w:val="158"/>
    <w:qFormat/>
    <w:uiPriority w:val="0"/>
    <w:pPr>
      <w:spacing w:line="413" w:lineRule="auto"/>
      <w:jc w:val="both"/>
    </w:pPr>
    <w:rPr>
      <w:rFonts w:ascii="Arial" w:hAnsi="Arial"/>
      <w:kern w:val="0"/>
      <w:sz w:val="24"/>
    </w:rPr>
  </w:style>
  <w:style w:type="paragraph" w:customStyle="1" w:styleId="1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1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szCs w:val="24"/>
    </w:rPr>
  </w:style>
  <w:style w:type="paragraph" w:customStyle="1" w:styleId="1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sz w:val="32"/>
      <w:szCs w:val="32"/>
    </w:rPr>
  </w:style>
  <w:style w:type="paragraph" w:customStyle="1" w:styleId="108">
    <w:name w:val="Blockquote"/>
    <w:basedOn w:val="1"/>
    <w:qFormat/>
    <w:uiPriority w:val="0"/>
    <w:pPr>
      <w:autoSpaceDE w:val="0"/>
      <w:autoSpaceDN w:val="0"/>
      <w:adjustRightInd w:val="0"/>
      <w:spacing w:before="100" w:after="100"/>
      <w:ind w:left="360" w:right="360"/>
      <w:jc w:val="left"/>
    </w:pPr>
  </w:style>
  <w:style w:type="paragraph" w:customStyle="1" w:styleId="109">
    <w:name w:val="font7"/>
    <w:basedOn w:val="1"/>
    <w:qFormat/>
    <w:uiPriority w:val="0"/>
    <w:pPr>
      <w:widowControl/>
      <w:spacing w:before="100" w:beforeAutospacing="1" w:after="100" w:afterAutospacing="1"/>
      <w:jc w:val="left"/>
    </w:pPr>
    <w:rPr>
      <w:rFonts w:hint="eastAsia" w:ascii="幼圆" w:hAnsi="宋体" w:eastAsia="幼圆"/>
      <w:sz w:val="32"/>
      <w:szCs w:val="32"/>
    </w:rPr>
  </w:style>
  <w:style w:type="paragraph" w:customStyle="1" w:styleId="110">
    <w:name w:val="基本文字 Char"/>
    <w:basedOn w:val="1"/>
    <w:qFormat/>
    <w:uiPriority w:val="0"/>
    <w:pPr>
      <w:spacing w:before="156" w:line="400" w:lineRule="atLeast"/>
      <w:ind w:firstLine="540" w:firstLineChars="225"/>
    </w:pPr>
  </w:style>
  <w:style w:type="paragraph" w:customStyle="1" w:styleId="111">
    <w:name w:val="目录文字"/>
    <w:basedOn w:val="1"/>
    <w:qFormat/>
    <w:uiPriority w:val="0"/>
    <w:pPr>
      <w:widowControl/>
      <w:spacing w:line="480" w:lineRule="auto"/>
      <w:jc w:val="left"/>
    </w:pPr>
    <w:rPr>
      <w:rFonts w:hAnsi="宋体"/>
    </w:rPr>
  </w:style>
  <w:style w:type="paragraph" w:customStyle="1" w:styleId="112">
    <w:name w:val="_Style 111"/>
    <w:unhideWhenUsed/>
    <w:qFormat/>
    <w:uiPriority w:val="99"/>
    <w:rPr>
      <w:rFonts w:ascii="宋体" w:hAnsi="Times New Roman" w:eastAsia="宋体" w:cs="Times New Roman"/>
      <w:sz w:val="24"/>
      <w:lang w:val="en-US" w:eastAsia="zh-CN" w:bidi="ar-SA"/>
    </w:rPr>
  </w:style>
  <w:style w:type="paragraph" w:customStyle="1" w:styleId="113">
    <w:name w:val="Default Paragraph Char Char Char Char"/>
    <w:basedOn w:val="1"/>
    <w:next w:val="1"/>
    <w:qFormat/>
    <w:uiPriority w:val="0"/>
    <w:pPr>
      <w:widowControl/>
      <w:spacing w:line="360" w:lineRule="auto"/>
      <w:jc w:val="left"/>
    </w:pPr>
    <w:rPr>
      <w:lang w:eastAsia="en-US"/>
    </w:rPr>
  </w:style>
  <w:style w:type="paragraph" w:customStyle="1" w:styleId="114">
    <w:name w:val="Char"/>
    <w:basedOn w:val="1"/>
    <w:qFormat/>
    <w:uiPriority w:val="0"/>
    <w:rPr>
      <w:rFonts w:ascii="Tahoma" w:hAnsi="Tahoma"/>
    </w:rPr>
  </w:style>
  <w:style w:type="paragraph" w:styleId="115">
    <w:name w:val="Quote"/>
    <w:basedOn w:val="1"/>
    <w:next w:val="1"/>
    <w:link w:val="139"/>
    <w:qFormat/>
    <w:uiPriority w:val="0"/>
    <w:rPr>
      <w:rFonts w:ascii="Times New Roman"/>
      <w:i/>
      <w:iCs/>
      <w:color w:val="000000"/>
      <w:kern w:val="2"/>
      <w:sz w:val="21"/>
      <w:szCs w:val="22"/>
    </w:rPr>
  </w:style>
  <w:style w:type="paragraph" w:customStyle="1" w:styleId="1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18"/>
      <w:szCs w:val="18"/>
    </w:rPr>
  </w:style>
  <w:style w:type="paragraph" w:customStyle="1" w:styleId="118">
    <w:name w:val="D&amp;L"/>
    <w:basedOn w:val="37"/>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1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Cs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21">
    <w:name w:val="font5"/>
    <w:basedOn w:val="1"/>
    <w:qFormat/>
    <w:uiPriority w:val="0"/>
    <w:pPr>
      <w:widowControl/>
      <w:spacing w:before="100" w:beforeAutospacing="1" w:after="100" w:afterAutospacing="1"/>
      <w:jc w:val="left"/>
    </w:pPr>
    <w:rPr>
      <w:rFonts w:hint="eastAsia" w:hAnsi="宋体"/>
      <w:sz w:val="18"/>
      <w:szCs w:val="18"/>
    </w:rPr>
  </w:style>
  <w:style w:type="paragraph" w:customStyle="1" w:styleId="122">
    <w:name w:val="font9"/>
    <w:basedOn w:val="1"/>
    <w:qFormat/>
    <w:uiPriority w:val="0"/>
    <w:pPr>
      <w:widowControl/>
      <w:spacing w:before="100" w:beforeAutospacing="1" w:after="100" w:afterAutospacing="1"/>
      <w:jc w:val="left"/>
    </w:pPr>
    <w:rPr>
      <w:rFonts w:hint="eastAsia" w:ascii="幼圆" w:hAnsi="宋体" w:eastAsia="幼圆"/>
      <w:sz w:val="32"/>
      <w:szCs w:val="32"/>
    </w:rPr>
  </w:style>
  <w:style w:type="paragraph" w:customStyle="1" w:styleId="123">
    <w:name w:val="xl44"/>
    <w:basedOn w:val="1"/>
    <w:qFormat/>
    <w:uiPriority w:val="0"/>
    <w:pPr>
      <w:widowControl/>
      <w:spacing w:before="100" w:beforeAutospacing="1" w:after="100" w:afterAutospacing="1"/>
      <w:jc w:val="center"/>
      <w:textAlignment w:val="center"/>
    </w:pPr>
    <w:rPr>
      <w:rFonts w:hAnsi="宋体"/>
      <w:b/>
      <w:bCs/>
      <w:sz w:val="32"/>
      <w:szCs w:val="32"/>
    </w:rPr>
  </w:style>
  <w:style w:type="paragraph" w:customStyle="1" w:styleId="124">
    <w:name w:val="范本目录"/>
    <w:basedOn w:val="1"/>
    <w:qFormat/>
    <w:uiPriority w:val="0"/>
    <w:pPr>
      <w:adjustRightInd w:val="0"/>
      <w:snapToGrid w:val="0"/>
      <w:spacing w:before="62" w:beforeLines="20" w:after="62" w:afterLines="20" w:line="540" w:lineRule="exact"/>
      <w:jc w:val="center"/>
    </w:pPr>
    <w:rPr>
      <w:rFonts w:hAnsi="宋体"/>
      <w:b/>
      <w:bCs/>
      <w:sz w:val="36"/>
      <w:szCs w:val="24"/>
    </w:rPr>
  </w:style>
  <w:style w:type="paragraph" w:customStyle="1" w:styleId="125">
    <w:name w:val="正文_0"/>
    <w:qFormat/>
    <w:uiPriority w:val="0"/>
    <w:pPr>
      <w:widowControl w:val="0"/>
      <w:jc w:val="both"/>
    </w:pPr>
    <w:rPr>
      <w:rFonts w:ascii="仿宋_GB2312" w:hAnsi="仿宋_GB2312" w:eastAsia="宋体" w:cs="仿宋_GB2312"/>
      <w:kern w:val="2"/>
      <w:sz w:val="21"/>
      <w:szCs w:val="22"/>
      <w:lang w:val="en-US" w:eastAsia="zh-CN" w:bidi="ar-SA"/>
    </w:rPr>
  </w:style>
  <w:style w:type="paragraph" w:styleId="126">
    <w:name w:val="Intense Quote"/>
    <w:basedOn w:val="1"/>
    <w:next w:val="1"/>
    <w:link w:val="147"/>
    <w:qFormat/>
    <w:uiPriority w:val="0"/>
    <w:pPr>
      <w:pBdr>
        <w:bottom w:val="single" w:color="4F81BD" w:sz="4" w:space="4"/>
      </w:pBdr>
      <w:spacing w:before="200" w:after="280"/>
      <w:ind w:left="936" w:right="936"/>
    </w:pPr>
    <w:rPr>
      <w:rFonts w:ascii="Times New Roman"/>
      <w:b/>
      <w:bCs/>
      <w:i/>
      <w:iCs/>
      <w:color w:val="4F81BD"/>
      <w:kern w:val="2"/>
      <w:sz w:val="21"/>
      <w:szCs w:val="22"/>
    </w:rPr>
  </w:style>
  <w:style w:type="paragraph" w:customStyle="1" w:styleId="127">
    <w:name w:val="一级标题"/>
    <w:basedOn w:val="1"/>
    <w:next w:val="71"/>
    <w:qFormat/>
    <w:uiPriority w:val="0"/>
    <w:pPr>
      <w:numPr>
        <w:ilvl w:val="2"/>
        <w:numId w:val="1"/>
      </w:numPr>
      <w:tabs>
        <w:tab w:val="left" w:pos="425"/>
        <w:tab w:val="clear" w:pos="1418"/>
      </w:tabs>
      <w:spacing w:after="312" w:afterLines="100"/>
      <w:ind w:left="850" w:hanging="425"/>
      <w:outlineLvl w:val="0"/>
    </w:pPr>
    <w:rPr>
      <w:rFonts w:ascii="黑体" w:eastAsia="黑体"/>
      <w:sz w:val="30"/>
      <w:szCs w:val="28"/>
    </w:rPr>
  </w:style>
  <w:style w:type="paragraph" w:customStyle="1" w:styleId="128">
    <w:name w:val="SUR-需求定义-第4级"/>
    <w:basedOn w:val="6"/>
    <w:next w:val="1"/>
    <w:qFormat/>
    <w:uiPriority w:val="0"/>
    <w:pPr>
      <w:numPr>
        <w:ilvl w:val="3"/>
        <w:numId w:val="3"/>
      </w:numPr>
      <w:tabs>
        <w:tab w:val="left" w:pos="1080"/>
        <w:tab w:val="clear" w:pos="2934"/>
      </w:tabs>
      <w:spacing w:before="0" w:after="0"/>
      <w:ind w:left="-283" w:firstLine="283"/>
      <w:jc w:val="left"/>
    </w:pPr>
    <w:rPr>
      <w:rFonts w:cs="Arial"/>
      <w:b w:val="0"/>
      <w:color w:val="0000FF"/>
      <w:sz w:val="24"/>
      <w:szCs w:val="24"/>
    </w:rPr>
  </w:style>
  <w:style w:type="paragraph" w:customStyle="1" w:styleId="129">
    <w:name w:val="Char1"/>
    <w:basedOn w:val="1"/>
    <w:next w:val="1"/>
    <w:qFormat/>
    <w:uiPriority w:val="0"/>
    <w:pPr>
      <w:widowControl/>
      <w:spacing w:line="360" w:lineRule="auto"/>
      <w:jc w:val="left"/>
    </w:pPr>
    <w:rPr>
      <w:lang w:eastAsia="en-US"/>
    </w:rPr>
  </w:style>
  <w:style w:type="paragraph" w:customStyle="1" w:styleId="1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Cs w:val="24"/>
    </w:rPr>
  </w:style>
  <w:style w:type="paragraph" w:customStyle="1" w:styleId="1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sz w:val="32"/>
      <w:szCs w:val="32"/>
    </w:rPr>
  </w:style>
  <w:style w:type="paragraph" w:customStyle="1" w:styleId="132">
    <w:name w:val="Table Paragraph"/>
    <w:qFormat/>
    <w:uiPriority w:val="0"/>
    <w:rPr>
      <w:rFonts w:ascii="Times New Roman" w:hAnsi="Times New Roman" w:eastAsia="宋体" w:cs="Times New Roman"/>
      <w:lang w:val="en-US" w:eastAsia="zh-CN" w:bidi="ar-SA"/>
    </w:rPr>
  </w:style>
  <w:style w:type="paragraph" w:customStyle="1" w:styleId="1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character" w:customStyle="1" w:styleId="134">
    <w:name w:val="标题 8 字符"/>
    <w:link w:val="10"/>
    <w:qFormat/>
    <w:uiPriority w:val="0"/>
    <w:rPr>
      <w:rFonts w:ascii="Arial" w:hAnsi="Arial" w:eastAsia="黑体"/>
      <w:sz w:val="24"/>
      <w:szCs w:val="24"/>
      <w:lang w:val="en-US" w:eastAsia="zh-CN" w:bidi="ar-SA"/>
    </w:rPr>
  </w:style>
  <w:style w:type="character" w:customStyle="1" w:styleId="135">
    <w:name w:val="正文文本缩进 字符"/>
    <w:link w:val="24"/>
    <w:qFormat/>
    <w:uiPriority w:val="0"/>
    <w:rPr>
      <w:rFonts w:ascii="楷体_GB2312" w:eastAsia="楷体_GB2312"/>
      <w:kern w:val="2"/>
      <w:sz w:val="32"/>
    </w:rPr>
  </w:style>
  <w:style w:type="character" w:customStyle="1" w:styleId="136">
    <w:name w:val="hover28"/>
    <w:basedOn w:val="59"/>
    <w:qFormat/>
    <w:uiPriority w:val="0"/>
  </w:style>
  <w:style w:type="character" w:customStyle="1" w:styleId="137">
    <w:name w:val="标题 2 字符"/>
    <w:link w:val="4"/>
    <w:qFormat/>
    <w:uiPriority w:val="0"/>
    <w:rPr>
      <w:rFonts w:ascii="Arial" w:hAnsi="Arial" w:eastAsia="黑体"/>
      <w:b/>
      <w:bCs/>
      <w:kern w:val="2"/>
      <w:sz w:val="32"/>
      <w:szCs w:val="32"/>
      <w:lang w:val="en-US" w:eastAsia="zh-CN" w:bidi="ar-SA"/>
    </w:rPr>
  </w:style>
  <w:style w:type="character" w:customStyle="1" w:styleId="138">
    <w:name w:val="标题4 Char Char"/>
    <w:link w:val="79"/>
    <w:qFormat/>
    <w:uiPriority w:val="0"/>
    <w:rPr>
      <w:rFonts w:ascii="Arial" w:hAnsi="Arial"/>
      <w:b/>
      <w:bCs/>
      <w:sz w:val="24"/>
      <w:szCs w:val="32"/>
      <w:lang w:bidi="ar-SA"/>
    </w:rPr>
  </w:style>
  <w:style w:type="character" w:customStyle="1" w:styleId="139">
    <w:name w:val="引用 字符"/>
    <w:link w:val="115"/>
    <w:qFormat/>
    <w:uiPriority w:val="0"/>
    <w:rPr>
      <w:i/>
      <w:iCs/>
      <w:color w:val="000000"/>
      <w:kern w:val="2"/>
      <w:sz w:val="21"/>
      <w:szCs w:val="22"/>
      <w:lang w:bidi="ar-SA"/>
    </w:rPr>
  </w:style>
  <w:style w:type="character" w:customStyle="1" w:styleId="140">
    <w:name w:val="正文文本 字符"/>
    <w:link w:val="23"/>
    <w:qFormat/>
    <w:uiPriority w:val="0"/>
    <w:rPr>
      <w:rFonts w:ascii="宋体" w:hAnsi="Arial" w:eastAsia="宋体"/>
      <w:kern w:val="2"/>
      <w:sz w:val="28"/>
      <w:lang w:val="en-US" w:eastAsia="zh-CN" w:bidi="ar-SA"/>
    </w:rPr>
  </w:style>
  <w:style w:type="character" w:customStyle="1" w:styleId="141">
    <w:name w:val="标题 3 字符"/>
    <w:link w:val="5"/>
    <w:qFormat/>
    <w:uiPriority w:val="0"/>
    <w:rPr>
      <w:rFonts w:ascii="宋体" w:eastAsia="宋体"/>
      <w:b/>
      <w:bCs/>
      <w:kern w:val="2"/>
      <w:sz w:val="32"/>
      <w:szCs w:val="32"/>
      <w:lang w:val="en-US" w:eastAsia="zh-CN" w:bidi="ar-SA"/>
    </w:rPr>
  </w:style>
  <w:style w:type="character" w:customStyle="1" w:styleId="142">
    <w:name w:val="批注文字 字符"/>
    <w:link w:val="19"/>
    <w:qFormat/>
    <w:uiPriority w:val="0"/>
    <w:rPr>
      <w:rFonts w:eastAsia="宋体"/>
      <w:kern w:val="2"/>
      <w:sz w:val="21"/>
      <w:lang w:val="en-US" w:eastAsia="zh-CN" w:bidi="ar-SA"/>
    </w:rPr>
  </w:style>
  <w:style w:type="character" w:customStyle="1" w:styleId="143">
    <w:name w:val="标题 4 字符"/>
    <w:link w:val="6"/>
    <w:qFormat/>
    <w:uiPriority w:val="0"/>
    <w:rPr>
      <w:rFonts w:ascii="Arial" w:hAnsi="Arial" w:eastAsia="黑体"/>
      <w:b/>
      <w:bCs/>
      <w:kern w:val="2"/>
      <w:sz w:val="28"/>
      <w:szCs w:val="28"/>
      <w:lang w:val="en-US" w:eastAsia="zh-CN" w:bidi="ar-SA"/>
    </w:rPr>
  </w:style>
  <w:style w:type="character" w:customStyle="1" w:styleId="144">
    <w:name w:val="纯文本 Char1"/>
    <w:qFormat/>
    <w:uiPriority w:val="0"/>
    <w:rPr>
      <w:rFonts w:ascii="宋体" w:hAnsi="Courier New" w:eastAsia="宋体" w:cs="Courier New"/>
      <w:kern w:val="2"/>
      <w:sz w:val="21"/>
      <w:szCs w:val="21"/>
      <w:lang w:val="en-US" w:eastAsia="zh-CN" w:bidi="ar-SA"/>
    </w:rPr>
  </w:style>
  <w:style w:type="character" w:customStyle="1" w:styleId="145">
    <w:name w:val="标题 6 字符"/>
    <w:link w:val="8"/>
    <w:qFormat/>
    <w:uiPriority w:val="0"/>
    <w:rPr>
      <w:rFonts w:ascii="宋体" w:hAnsi="宋体" w:eastAsia="宋体"/>
      <w:sz w:val="28"/>
      <w:lang w:val="en-US" w:eastAsia="zh-CN" w:bidi="ar-SA"/>
    </w:rPr>
  </w:style>
  <w:style w:type="character" w:customStyle="1" w:styleId="146">
    <w:name w:val="ca-31"/>
    <w:qFormat/>
    <w:uiPriority w:val="0"/>
    <w:rPr>
      <w:rFonts w:hint="eastAsia" w:ascii="宋体" w:hAnsi="宋体" w:eastAsia="宋体"/>
      <w:sz w:val="28"/>
      <w:szCs w:val="28"/>
    </w:rPr>
  </w:style>
  <w:style w:type="character" w:customStyle="1" w:styleId="147">
    <w:name w:val="明显引用 字符"/>
    <w:link w:val="126"/>
    <w:qFormat/>
    <w:uiPriority w:val="0"/>
    <w:rPr>
      <w:b/>
      <w:bCs/>
      <w:i/>
      <w:iCs/>
      <w:color w:val="4F81BD"/>
      <w:kern w:val="2"/>
      <w:sz w:val="21"/>
      <w:szCs w:val="22"/>
      <w:lang w:bidi="ar-SA"/>
    </w:rPr>
  </w:style>
  <w:style w:type="character" w:customStyle="1" w:styleId="148">
    <w:name w:val="批注主题 字符"/>
    <w:link w:val="55"/>
    <w:qFormat/>
    <w:uiPriority w:val="0"/>
    <w:rPr>
      <w:rFonts w:ascii="宋体"/>
      <w:b/>
      <w:bCs/>
      <w:sz w:val="28"/>
      <w:lang w:bidi="ar-SA"/>
    </w:rPr>
  </w:style>
  <w:style w:type="character" w:customStyle="1" w:styleId="149">
    <w:name w:val="标题 字符"/>
    <w:link w:val="54"/>
    <w:qFormat/>
    <w:uiPriority w:val="0"/>
    <w:rPr>
      <w:rFonts w:ascii="Cambria" w:hAnsi="Cambria"/>
      <w:b/>
      <w:bCs/>
      <w:kern w:val="2"/>
      <w:sz w:val="32"/>
      <w:szCs w:val="32"/>
      <w:lang w:bidi="ar-SA"/>
    </w:rPr>
  </w:style>
  <w:style w:type="character" w:customStyle="1" w:styleId="150">
    <w:name w:val="页眉 字符"/>
    <w:link w:val="37"/>
    <w:qFormat/>
    <w:uiPriority w:val="0"/>
    <w:rPr>
      <w:rFonts w:eastAsia="宋体"/>
      <w:kern w:val="2"/>
      <w:sz w:val="18"/>
      <w:lang w:val="en-US" w:eastAsia="zh-CN" w:bidi="ar-SA"/>
    </w:rPr>
  </w:style>
  <w:style w:type="character" w:customStyle="1" w:styleId="151">
    <w:name w:val="Char Char"/>
    <w:qFormat/>
    <w:uiPriority w:val="0"/>
    <w:rPr>
      <w:rFonts w:ascii="宋体" w:hAnsi="Courier New" w:eastAsia="宋体" w:cs="Courier New"/>
      <w:kern w:val="2"/>
      <w:sz w:val="21"/>
      <w:szCs w:val="21"/>
      <w:lang w:val="en-US" w:eastAsia="zh-CN" w:bidi="ar-SA"/>
    </w:rPr>
  </w:style>
  <w:style w:type="character" w:customStyle="1" w:styleId="152">
    <w:name w:val="纯文本 字符"/>
    <w:link w:val="2"/>
    <w:qFormat/>
    <w:uiPriority w:val="0"/>
    <w:rPr>
      <w:rFonts w:ascii="宋体" w:hAnsi="Courier New" w:eastAsia="宋体"/>
      <w:kern w:val="2"/>
      <w:sz w:val="21"/>
      <w:lang w:val="en-US" w:eastAsia="zh-CN" w:bidi="ar-SA"/>
    </w:rPr>
  </w:style>
  <w:style w:type="character" w:customStyle="1" w:styleId="153">
    <w:name w:val="副标题 字符"/>
    <w:link w:val="42"/>
    <w:qFormat/>
    <w:uiPriority w:val="0"/>
    <w:rPr>
      <w:rFonts w:ascii="Arial" w:hAnsi="Arial" w:eastAsia="宋体" w:cs="Arial"/>
      <w:b/>
      <w:bCs/>
      <w:kern w:val="28"/>
      <w:sz w:val="32"/>
      <w:szCs w:val="32"/>
      <w:lang w:val="en-US" w:eastAsia="zh-CN" w:bidi="ar-SA"/>
    </w:rPr>
  </w:style>
  <w:style w:type="character" w:customStyle="1" w:styleId="154">
    <w:name w:val="正文文本 3 字符"/>
    <w:link w:val="22"/>
    <w:qFormat/>
    <w:uiPriority w:val="0"/>
    <w:rPr>
      <w:rFonts w:ascii="黑体" w:hAnsi="Arial" w:eastAsia="黑体"/>
      <w:b/>
      <w:sz w:val="28"/>
    </w:rPr>
  </w:style>
  <w:style w:type="character" w:customStyle="1" w:styleId="155">
    <w:name w:val="标题 5 字符"/>
    <w:link w:val="7"/>
    <w:qFormat/>
    <w:uiPriority w:val="0"/>
    <w:rPr>
      <w:rFonts w:ascii="宋体" w:hAnsi="Arial" w:eastAsia="宋体"/>
      <w:bCs/>
      <w:kern w:val="2"/>
      <w:sz w:val="28"/>
      <w:lang w:val="en-US" w:eastAsia="zh-CN" w:bidi="ar-SA"/>
    </w:rPr>
  </w:style>
  <w:style w:type="character" w:customStyle="1" w:styleId="156">
    <w:name w:val="文档结构图 字符"/>
    <w:link w:val="17"/>
    <w:qFormat/>
    <w:uiPriority w:val="0"/>
    <w:rPr>
      <w:rFonts w:eastAsia="宋体"/>
      <w:kern w:val="2"/>
      <w:sz w:val="21"/>
      <w:lang w:val="en-US" w:eastAsia="zh-CN" w:bidi="ar-SA"/>
    </w:rPr>
  </w:style>
  <w:style w:type="character" w:customStyle="1" w:styleId="157">
    <w:name w:val="标题 1 字符"/>
    <w:link w:val="3"/>
    <w:uiPriority w:val="0"/>
    <w:rPr>
      <w:rFonts w:eastAsia="宋体"/>
      <w:b/>
      <w:bCs/>
      <w:kern w:val="44"/>
      <w:sz w:val="30"/>
      <w:szCs w:val="44"/>
      <w:lang w:val="en-US" w:eastAsia="zh-CN" w:bidi="ar-SA"/>
    </w:rPr>
  </w:style>
  <w:style w:type="character" w:customStyle="1" w:styleId="158">
    <w:name w:val="标题5 Char Char"/>
    <w:link w:val="104"/>
    <w:uiPriority w:val="0"/>
    <w:rPr>
      <w:rFonts w:ascii="Arial" w:hAnsi="Arial"/>
      <w:b/>
      <w:bCs/>
      <w:sz w:val="24"/>
      <w:szCs w:val="32"/>
      <w:lang w:bidi="ar-SA"/>
    </w:rPr>
  </w:style>
  <w:style w:type="character" w:customStyle="1" w:styleId="159">
    <w:name w:val="页脚 字符"/>
    <w:link w:val="36"/>
    <w:qFormat/>
    <w:uiPriority w:val="0"/>
    <w:rPr>
      <w:rFonts w:eastAsia="宋体"/>
      <w:kern w:val="2"/>
      <w:sz w:val="18"/>
      <w:lang w:val="en-US" w:eastAsia="zh-CN" w:bidi="ar-SA"/>
    </w:rPr>
  </w:style>
  <w:style w:type="character" w:customStyle="1" w:styleId="160">
    <w:name w:val="日期 字符"/>
    <w:link w:val="33"/>
    <w:qFormat/>
    <w:uiPriority w:val="0"/>
    <w:rPr>
      <w:rFonts w:eastAsia="宋体"/>
      <w:b/>
      <w:kern w:val="2"/>
      <w:sz w:val="28"/>
      <w:lang w:val="en-US" w:eastAsia="zh-CN" w:bidi="ar-SA"/>
    </w:rPr>
  </w:style>
  <w:style w:type="character" w:customStyle="1" w:styleId="161">
    <w:name w:val="标题 9 字符"/>
    <w:link w:val="11"/>
    <w:qFormat/>
    <w:uiPriority w:val="0"/>
    <w:rPr>
      <w:rFonts w:ascii="Arial" w:hAnsi="Arial" w:eastAsia="黑体"/>
      <w:sz w:val="21"/>
      <w:szCs w:val="21"/>
      <w:lang w:val="en-US" w:eastAsia="zh-CN" w:bidi="ar-SA"/>
    </w:rPr>
  </w:style>
  <w:style w:type="character" w:customStyle="1" w:styleId="162">
    <w:name w:val="标题 7 字符"/>
    <w:link w:val="9"/>
    <w:qFormat/>
    <w:uiPriority w:val="0"/>
    <w:rPr>
      <w:rFonts w:ascii="Arial" w:hAnsi="Arial" w:eastAsia="仿宋_GB2312" w:cs="Arial"/>
      <w:b/>
      <w:bCs/>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57</Pages>
  <Words>5020</Words>
  <Characters>28616</Characters>
  <Lines>238</Lines>
  <Paragraphs>67</Paragraphs>
  <TotalTime>33</TotalTime>
  <ScaleCrop>false</ScaleCrop>
  <LinksUpToDate>false</LinksUpToDate>
  <CharactersWithSpaces>33569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2020-07-30T08:07:00Z</dcterms:created>
  <dc:creator>省直科</dc:creator>
  <cp:lastModifiedBy>WH</cp:lastModifiedBy>
  <cp:lastPrinted>2020-07-20T07:46:00Z</cp:lastPrinted>
  <dcterms:modified xsi:type="dcterms:W3CDTF">2020-07-31T03:41:12Z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